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Hatfield Technologies Ltd</w:t>
      </w:r>
    </w:p>
    <w:p>
      <w:r>
        <w:t>Synthetic Dataset — Academic RAG Prototype</w:t>
      </w:r>
    </w:p>
    <w:p>
      <w:pPr>
        <w:pStyle w:val="Heading2"/>
      </w:pPr>
      <w:r>
        <w:t>Password and Multi-Factor Authentication Policy</w:t>
      </w:r>
    </w:p>
    <w:p>
      <w:pPr>
        <w:pStyle w:val="Heading2"/>
      </w:pPr>
      <w:r>
        <w:t>Password requirements</w:t>
      </w:r>
    </w:p>
    <w:p>
      <w:r>
        <w:t>Employees must use strong passwords and must not reuse company passwords across unrelated services where this creates additional risk.</w:t>
      </w:r>
    </w:p>
    <w:p>
      <w:pPr>
        <w:pStyle w:val="Heading2"/>
      </w:pPr>
      <w:r>
        <w:t>Password sharing</w:t>
      </w:r>
    </w:p>
    <w:p>
      <w:r>
        <w:t>Employees must never share their password with another employee, manager, contractor, or IT support representative.</w:t>
      </w:r>
    </w:p>
    <w:p>
      <w:pPr>
        <w:pStyle w:val="Heading2"/>
      </w:pPr>
      <w:r>
        <w:t>Password reset</w:t>
      </w:r>
    </w:p>
    <w:p>
      <w:r>
        <w:t>Employees who forget a password should use the approved password reset process or contact IT support.</w:t>
      </w:r>
    </w:p>
    <w:p>
      <w:pPr>
        <w:pStyle w:val="Heading2"/>
      </w:pPr>
      <w:r>
        <w:t>Multi-factor authentication</w:t>
      </w:r>
    </w:p>
    <w:p>
      <w:r>
        <w:t>Where MFA is provided, employees must use it. MFA approval requests and authentication codes must not be shared with other people.</w:t>
      </w:r>
    </w:p>
    <w:p>
      <w:pPr>
        <w:pStyle w:val="Heading2"/>
      </w:pPr>
      <w:r>
        <w:t>Suspected compromise</w:t>
      </w:r>
    </w:p>
    <w:p>
      <w:r>
        <w:t>If an employee believes an account or password has been compromised, they should report it to IT immediately and follow the approved password-reset procedure.</w:t>
      </w:r>
    </w:p>
    <w:p>
      <w:pPr>
        <w:pStyle w:val="Heading2"/>
      </w:pPr>
      <w:r>
        <w:t>Storage</w:t>
      </w:r>
    </w:p>
    <w:p>
      <w:r>
        <w:t>Passwords must not be written in publicly accessible locations or stored in unapproved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