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30F7" w14:textId="177EBF6D" w:rsidR="0064174C" w:rsidRPr="00CB4357" w:rsidRDefault="00CB4357">
      <w:pPr>
        <w:rPr>
          <w:u w:val="single"/>
        </w:rPr>
      </w:pPr>
      <w:r w:rsidRPr="00CB4357">
        <w:rPr>
          <w:u w:val="single"/>
        </w:rPr>
        <w:t>Section 10: Principal Components Analysis for Debt Collection Variables</w:t>
      </w:r>
    </w:p>
    <w:p w14:paraId="497BF1F4" w14:textId="09EB2A19" w:rsidR="00CB4357" w:rsidRDefault="00CB4357" w:rsidP="00732C37">
      <w:pPr>
        <w:jc w:val="both"/>
      </w:pPr>
      <w:r>
        <w:t xml:space="preserve">We performed PCA imputation and </w:t>
      </w:r>
      <w:r w:rsidR="001D72C2">
        <w:t xml:space="preserve">analysis </w:t>
      </w:r>
      <w:r>
        <w:t xml:space="preserve">on 23 variables from the debt-collection data. We selected these variables based on their proportion of missing </w:t>
      </w:r>
      <w:r w:rsidR="001D72C2">
        <w:t>values</w:t>
      </w:r>
      <w:r>
        <w:t xml:space="preserve">. Columns missing more than 30% of their data across counties were simply removed from the analysis. We were then left with </w:t>
      </w:r>
      <w:r w:rsidR="001D72C2">
        <w:t xml:space="preserve">the </w:t>
      </w:r>
      <w:r>
        <w:t xml:space="preserve">variables in </w:t>
      </w:r>
      <w:r w:rsidR="001D72C2">
        <w:t>T</w:t>
      </w:r>
      <w:r>
        <w:t xml:space="preserve">able 10.1, which shows the loadings for the first 4 components, color-coded by magnitude and direction. </w:t>
      </w:r>
    </w:p>
    <w:p w14:paraId="1C913BF0" w14:textId="77777777" w:rsidR="001D72C2" w:rsidRDefault="001D72C2" w:rsidP="00732C37">
      <w:pPr>
        <w:jc w:val="both"/>
      </w:pPr>
    </w:p>
    <w:p w14:paraId="1428F7B8" w14:textId="341A221A" w:rsidR="00CB4357" w:rsidRDefault="00E737ED" w:rsidP="00072F6D">
      <w:pPr>
        <w:jc w:val="center"/>
        <w:rPr>
          <w:noProof/>
          <w:bdr w:val="single" w:sz="4" w:space="0" w:color="747474" w:themeColor="background2" w:themeShade="80"/>
        </w:rPr>
      </w:pPr>
      <w:r w:rsidRPr="004D6176">
        <w:rPr>
          <w:noProof/>
          <w:bdr w:val="single" w:sz="4" w:space="0" w:color="747474" w:themeColor="background2" w:themeShade="80"/>
        </w:rPr>
        <w:object w:dxaOrig="14040" w:dyaOrig="8020" w14:anchorId="3E94B4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59.75pt;height:262.05pt;mso-width-percent:0;mso-height-percent:0;mso-width-percent:0;mso-height-percent:0" o:ole="">
            <v:imagedata r:id="rId4" o:title=""/>
          </v:shape>
          <o:OLEObject Type="Embed" ProgID="Excel.Sheet.12" ShapeID="_x0000_i1025" DrawAspect="Content" ObjectID="_1836927768" r:id="rId5"/>
        </w:object>
      </w:r>
    </w:p>
    <w:p w14:paraId="61B49445" w14:textId="77777777" w:rsidR="001D72C2" w:rsidRDefault="001D72C2" w:rsidP="00072F6D">
      <w:pPr>
        <w:jc w:val="center"/>
      </w:pPr>
    </w:p>
    <w:p w14:paraId="1978DFEA" w14:textId="412D4472" w:rsidR="005340F8" w:rsidRDefault="001A1DF7" w:rsidP="00072F6D">
      <w:pPr>
        <w:jc w:val="both"/>
      </w:pPr>
      <w:r>
        <w:t>From Table 10.1 we can s</w:t>
      </w:r>
      <w:r w:rsidR="00790F03">
        <w:t xml:space="preserve">ee roughly how to interpret each of the first four principal components. PC1 </w:t>
      </w:r>
      <w:r w:rsidR="00180A54">
        <w:t xml:space="preserve">largely captures </w:t>
      </w:r>
      <w:r w:rsidR="00D335F3">
        <w:t xml:space="preserve">rates of </w:t>
      </w:r>
      <w:r w:rsidR="00180A54">
        <w:t xml:space="preserve">delinquencies </w:t>
      </w:r>
      <w:r w:rsidR="00431B0A">
        <w:t>and collections</w:t>
      </w:r>
      <w:r w:rsidR="00B17947">
        <w:t xml:space="preserve"> in addition to income </w:t>
      </w:r>
      <w:r w:rsidR="00D335F3">
        <w:t>averages</w:t>
      </w:r>
      <w:r w:rsidR="00B17947">
        <w:t>.</w:t>
      </w:r>
      <w:r w:rsidR="00CD6670">
        <w:t xml:space="preserve"> </w:t>
      </w:r>
      <w:r w:rsidR="00F1588E">
        <w:t xml:space="preserve">PC2 loads from </w:t>
      </w:r>
      <w:r w:rsidR="00941F86">
        <w:t xml:space="preserve">median debt in collections and </w:t>
      </w:r>
      <w:r w:rsidR="00472F3D">
        <w:t xml:space="preserve">auto, retail, and student loan debt rates. </w:t>
      </w:r>
      <w:r w:rsidR="00B17947">
        <w:t xml:space="preserve"> </w:t>
      </w:r>
      <w:r w:rsidR="00871538">
        <w:t xml:space="preserve">PC3 </w:t>
      </w:r>
      <w:r w:rsidR="007A74BC">
        <w:t xml:space="preserve">appears to be loading on the interactions </w:t>
      </w:r>
      <w:r w:rsidR="004E5B81">
        <w:t xml:space="preserve">of demographics </w:t>
      </w:r>
      <w:r w:rsidR="005710DE">
        <w:t xml:space="preserve">with other variables. PC4 </w:t>
      </w:r>
      <w:r w:rsidR="002E7FEB">
        <w:t xml:space="preserve">is largely loading from median </w:t>
      </w:r>
      <w:r w:rsidR="005340F8">
        <w:t xml:space="preserve">debt in collections and share of student loan debt. We can see that </w:t>
      </w:r>
      <w:r w:rsidR="00C7646D">
        <w:t>only two cells have a magnitude greater than 0.4</w:t>
      </w:r>
      <w:r w:rsidR="00F007FF">
        <w:t xml:space="preserve">, which suggests there </w:t>
      </w:r>
      <w:r w:rsidR="00773F95">
        <w:t xml:space="preserve">is not as much collinearity among these variables as expected. The cumulative </w:t>
      </w:r>
      <w:r w:rsidR="00E567CE">
        <w:t>%-</w:t>
      </w:r>
      <w:r w:rsidR="00773F95">
        <w:t>variance</w:t>
      </w:r>
      <w:r w:rsidR="00E567CE">
        <w:t>-</w:t>
      </w:r>
      <w:r w:rsidR="00773F95">
        <w:t xml:space="preserve">explained supports this. </w:t>
      </w:r>
    </w:p>
    <w:p w14:paraId="7B6492E1" w14:textId="13C15109" w:rsidR="00EB4502" w:rsidRDefault="0033094E" w:rsidP="00072F6D">
      <w:pPr>
        <w:jc w:val="both"/>
      </w:pPr>
      <w:r>
        <w:t xml:space="preserve">The four components were chosen because they </w:t>
      </w:r>
      <w:r w:rsidR="003529B5">
        <w:t xml:space="preserve">explain about 75% of the variance, </w:t>
      </w:r>
      <w:r w:rsidR="008C2988">
        <w:t xml:space="preserve">and additional components add little marginal explanatory power. </w:t>
      </w:r>
      <w:r w:rsidR="005414BC">
        <w:t>Figure 10.1</w:t>
      </w:r>
      <w:r w:rsidR="00084885">
        <w:t xml:space="preserve"> shows how</w:t>
      </w:r>
      <w:r w:rsidR="00C77307">
        <w:t xml:space="preserve"> much variance each component explains as bars, and the cumulative variance explained is shown as a</w:t>
      </w:r>
      <w:r w:rsidR="00D724D6">
        <w:t xml:space="preserve"> line. The figure continues through </w:t>
      </w:r>
      <w:r w:rsidR="00487452">
        <w:t>10</w:t>
      </w:r>
      <w:r w:rsidR="00D724D6">
        <w:t xml:space="preserve"> components</w:t>
      </w:r>
      <w:r w:rsidR="00487452">
        <w:t xml:space="preserve"> to show that there is no obvious kink </w:t>
      </w:r>
      <w:r w:rsidR="00487452">
        <w:lastRenderedPageBreak/>
        <w:t xml:space="preserve">in the </w:t>
      </w:r>
      <w:r w:rsidR="0028324E">
        <w:t>cumulative variance explained</w:t>
      </w:r>
      <w:r w:rsidR="002A649E">
        <w:t xml:space="preserve">. While 8 components (one-third of the number of variables) explains 90% of the variance, </w:t>
      </w:r>
      <w:r w:rsidR="001559F8">
        <w:t xml:space="preserve">half </w:t>
      </w:r>
      <w:r w:rsidR="00F51E21">
        <w:t>that</w:t>
      </w:r>
      <w:r w:rsidR="001559F8">
        <w:t xml:space="preserve"> explains just 15% less. </w:t>
      </w:r>
      <w:r w:rsidR="004A7399">
        <w:t>That tells us th</w:t>
      </w:r>
      <w:r w:rsidR="00043173">
        <w:t xml:space="preserve">at PC5 through PC8 would not help </w:t>
      </w:r>
      <w:r w:rsidR="00BE7C81">
        <w:t xml:space="preserve">much when we start using our model to </w:t>
      </w:r>
      <w:r w:rsidR="00000849">
        <w:t>predict</w:t>
      </w:r>
      <w:r w:rsidR="000E06BD">
        <w:t xml:space="preserve"> debt</w:t>
      </w:r>
      <w:r w:rsidR="00000849">
        <w:t xml:space="preserve"> </w:t>
      </w:r>
      <w:r w:rsidR="000E06BD">
        <w:t xml:space="preserve">relief. </w:t>
      </w:r>
    </w:p>
    <w:p w14:paraId="30CA1EC7" w14:textId="64E61ABF" w:rsidR="00072F6D" w:rsidRDefault="00D724D6" w:rsidP="00072F6D">
      <w:pPr>
        <w:jc w:val="both"/>
      </w:pPr>
      <w:r>
        <w:t xml:space="preserve"> </w:t>
      </w:r>
      <w:r w:rsidR="00BD5524">
        <w:rPr>
          <w:noProof/>
        </w:rPr>
        <w:drawing>
          <wp:inline distT="0" distB="0" distL="0" distR="0" wp14:anchorId="1EEC2798" wp14:editId="780B55CE">
            <wp:extent cx="5943600" cy="2971800"/>
            <wp:effectExtent l="0" t="0" r="0" b="0"/>
            <wp:docPr id="156445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8036" name="Picture 1564458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57"/>
    <w:rsid w:val="00000849"/>
    <w:rsid w:val="00043173"/>
    <w:rsid w:val="00072F6D"/>
    <w:rsid w:val="00084885"/>
    <w:rsid w:val="000E06BD"/>
    <w:rsid w:val="001559F8"/>
    <w:rsid w:val="00180A54"/>
    <w:rsid w:val="001A1DF7"/>
    <w:rsid w:val="001D72C2"/>
    <w:rsid w:val="0028324E"/>
    <w:rsid w:val="002A649E"/>
    <w:rsid w:val="002E7FEB"/>
    <w:rsid w:val="0033094E"/>
    <w:rsid w:val="003529B5"/>
    <w:rsid w:val="00431B0A"/>
    <w:rsid w:val="00472F3D"/>
    <w:rsid w:val="0048331E"/>
    <w:rsid w:val="00487452"/>
    <w:rsid w:val="004A7399"/>
    <w:rsid w:val="004D6176"/>
    <w:rsid w:val="004E5B81"/>
    <w:rsid w:val="005340F8"/>
    <w:rsid w:val="005414BC"/>
    <w:rsid w:val="005710DE"/>
    <w:rsid w:val="005C4890"/>
    <w:rsid w:val="00612F96"/>
    <w:rsid w:val="0064174C"/>
    <w:rsid w:val="006D7996"/>
    <w:rsid w:val="006F646D"/>
    <w:rsid w:val="00732C37"/>
    <w:rsid w:val="00773F95"/>
    <w:rsid w:val="00790F03"/>
    <w:rsid w:val="007A74BC"/>
    <w:rsid w:val="007D442B"/>
    <w:rsid w:val="008125D6"/>
    <w:rsid w:val="00871538"/>
    <w:rsid w:val="008C2988"/>
    <w:rsid w:val="008E3730"/>
    <w:rsid w:val="00941F86"/>
    <w:rsid w:val="009B46B1"/>
    <w:rsid w:val="00B17947"/>
    <w:rsid w:val="00BD5524"/>
    <w:rsid w:val="00BE7C81"/>
    <w:rsid w:val="00C7646D"/>
    <w:rsid w:val="00C77307"/>
    <w:rsid w:val="00CB4357"/>
    <w:rsid w:val="00CD6670"/>
    <w:rsid w:val="00D335F3"/>
    <w:rsid w:val="00D724D6"/>
    <w:rsid w:val="00DA3C38"/>
    <w:rsid w:val="00E567CE"/>
    <w:rsid w:val="00E737ED"/>
    <w:rsid w:val="00EB4502"/>
    <w:rsid w:val="00F007FF"/>
    <w:rsid w:val="00F1588E"/>
    <w:rsid w:val="00F5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BBFC"/>
  <w15:chartTrackingRefBased/>
  <w15:docId w15:val="{37A91CF0-8401-E342-B8C8-C517BE4D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3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3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3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3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3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3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3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3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3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3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3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3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3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3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3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3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Amor</dc:creator>
  <cp:keywords/>
  <dc:description/>
  <cp:lastModifiedBy>Matt Amor</cp:lastModifiedBy>
  <cp:revision>50</cp:revision>
  <dcterms:created xsi:type="dcterms:W3CDTF">2026-04-05T23:58:00Z</dcterms:created>
  <dcterms:modified xsi:type="dcterms:W3CDTF">2026-04-06T00:55:00Z</dcterms:modified>
</cp:coreProperties>
</file>