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52"/>
          <w:szCs w:val="52"/>
        </w:rPr>
        <w:t xml:space="preserve">投資判断レポート</w:t>
      </w:r>
    </w:p>
    <w:p>
      <w:pPr>
        <w:spacing w:after="120" w:before="0"/>
        <w:jc w:val="center"/>
      </w:pPr>
      <w:r>
        <w:rPr>
          <w:rFonts w:ascii="Arial" w:cs="Arial" w:eastAsia="Arial" w:hAnsi="Arial"/>
          <w:b/>
          <w:bCs/>
          <w:color w:val="2E75B6"/>
          <w:sz w:val="40"/>
          <w:szCs w:val="40"/>
        </w:rPr>
        <w:t xml:space="preserve">Super Micro Computer, Inc.（SMCI）</w:t>
      </w:r>
    </w:p>
    <w:p>
      <w:pPr>
        <w:spacing w:after="60" w:before="0"/>
        <w:jc w:val="center"/>
      </w:pPr>
      <w:r>
        <w:rPr>
          <w:rFonts w:ascii="Arial" w:cs="Arial" w:eastAsia="Arial" w:hAnsi="Arial"/>
          <w:color w:val="666666"/>
          <w:sz w:val="28"/>
          <w:szCs w:val="28"/>
        </w:rPr>
        <w:t xml:space="preserve">AI サーバー最前線銘柄の徹底分析</w:t>
      </w:r>
    </w:p>
    <w:p>
      <w:pPr>
        <w:spacing w:after="600" w:before="120"/>
        <w:jc w:val="center"/>
      </w:pPr>
      <w:r>
        <w:rPr>
          <w:rFonts w:ascii="Arial" w:cs="Arial" w:eastAsia="Arial" w:hAnsi="Arial"/>
          <w:color w:val="888888"/>
          <w:sz w:val="22"/>
          <w:szCs w:val="22"/>
        </w:rPr>
        <w:t xml:space="preserve">作成日：2026年6月</w:t>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1. 基本情報</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項目</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内容</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銘柄名</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Super Micro Computer, Inc.（Supermicro）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ティッカー</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SMCI（NASDAQ上場）</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業種</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サーバー・データセンターハードウェア</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設立</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1993年（シリコンバレー、サンノゼ）</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株価（概算）</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約45〜47ドル（2026年6月初旬）</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時価総額</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約270〜290億ドル（約4兆円）</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PER（実績）</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約23〜25倍</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PER（予想）</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約15〜17倍（フォワードPER）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PSR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約0.88倍</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PBR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約3.7倍</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配当利回り</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なし（無配）</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従業員数</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約6,240名</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主要競合</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Dell Technologies、HPE、ODMメーカー各社</w:t>
            </w:r>
          </w:p>
        </w:tc>
      </w:tr>
    </w:tbl>
    <w:p>
      <w:pPr>
        <w:spacing w:after="60" w:before="60"/>
      </w:pPr>
      <w:r>
        <w:rPr>
          <w:rFonts w:ascii="Arial" w:cs="Arial" w:eastAsia="Arial" w:hAnsi="Arial"/>
          <w:sz w:val="22"/>
          <w:szCs w:val="22"/>
        </w:rPr>
        <w:t xml:space="preserve"/>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2. 会社の特徴・強み</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2-1. 創業の哲学：「ビルディングブロック」アーキテクチャ</w:t>
      </w:r>
    </w:p>
    <w:p>
      <w:pPr>
        <w:spacing w:after="60" w:before="60"/>
      </w:pPr>
      <w:r>
        <w:rPr>
          <w:rFonts w:ascii="Arial" w:cs="Arial" w:eastAsia="Arial" w:hAnsi="Arial"/>
          <w:sz w:val="22"/>
          <w:szCs w:val="22"/>
        </w:rPr>
        <w:t xml:space="preserve">Supermicroは1993年、Charles Liang（創業者CEO）がシリコンバレーで設立。同社の競争優位の根幹は「Building Block Solutions」と呼ばれるモジュール設計思想にある。このアーキテクチャにより、新しいGPUやCPUが登場した際に、最短6週間以内で対応サーバーを量産体制に乗せることが可能。DellやHPEが数ヶ月を要するのに対し、この「ファースト・トゥ・マーケット」は最大の護城河（モート）となっている。</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2-2. 直接液冷（DLC）技術のリーダーシップ</w:t>
      </w:r>
    </w:p>
    <w:p>
      <w:pPr>
        <w:pStyle w:val="ListParagraph"/>
        <w:numPr>
          <w:ilvl w:val="0"/>
          <w:numId w:val="2"/>
        </w:numPr>
        <w:spacing w:after="40" w:before="40"/>
      </w:pPr>
      <w:r>
        <w:rPr>
          <w:rFonts w:ascii="Arial" w:cs="Arial" w:eastAsia="Arial" w:hAnsi="Arial"/>
          <w:sz w:val="22"/>
          <w:szCs w:val="22"/>
        </w:rPr>
        <w:t xml:space="preserve">NVIDIA Blackwell/Rubin世代のGPUは1チップあたり1,000W超の熱設計電力（TDP）を持ち、従来の空冷では対応不能</w:t>
      </w:r>
    </w:p>
    <w:p>
      <w:pPr>
        <w:pStyle w:val="ListParagraph"/>
        <w:numPr>
          <w:ilvl w:val="0"/>
          <w:numId w:val="2"/>
        </w:numPr>
        <w:spacing w:after="40" w:before="40"/>
      </w:pPr>
      <w:r>
        <w:rPr>
          <w:rFonts w:ascii="Arial" w:cs="Arial" w:eastAsia="Arial" w:hAnsi="Arial"/>
          <w:sz w:val="22"/>
          <w:szCs w:val="22"/>
        </w:rPr>
        <w:t xml:space="preserve">SMCIは早期かつ積極的にDirect Liquid Cooling（DLC）技術を確立し、現在DLC市場の約70%のシェアを保有</w:t>
      </w:r>
    </w:p>
    <w:p>
      <w:pPr>
        <w:pStyle w:val="ListParagraph"/>
        <w:numPr>
          <w:ilvl w:val="0"/>
          <w:numId w:val="2"/>
        </w:numPr>
        <w:spacing w:after="40" w:before="40"/>
      </w:pPr>
      <w:r>
        <w:rPr>
          <w:rFonts w:ascii="Arial" w:cs="Arial" w:eastAsia="Arial" w:hAnsi="Arial"/>
          <w:sz w:val="22"/>
          <w:szCs w:val="22"/>
        </w:rPr>
        <w:t xml:space="preserve">DLC-2ソリューションは1ラックあたり最大120kWの熱を処理可能。Dell・HPEはいまだ追いかける立場</w:t>
      </w:r>
    </w:p>
    <w:p>
      <w:pPr>
        <w:pStyle w:val="ListParagraph"/>
        <w:numPr>
          <w:ilvl w:val="0"/>
          <w:numId w:val="2"/>
        </w:numPr>
        <w:spacing w:after="40" w:before="40"/>
      </w:pPr>
      <w:r>
        <w:rPr>
          <w:rFonts w:ascii="Arial" w:cs="Arial" w:eastAsia="Arial" w:hAnsi="Arial"/>
          <w:sz w:val="22"/>
          <w:szCs w:val="22"/>
        </w:rPr>
        <w:t xml:space="preserve">2026年1月、NVIDIA Vera Rubin NVL72・HGX Rubin NVL8向けのラックスケールソリューションをいち早く発表</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2-3. NVIDIAとの深い戦略的パートナーシップ</w:t>
      </w:r>
    </w:p>
    <w:p>
      <w:pPr>
        <w:spacing w:after="60" w:before="60"/>
      </w:pPr>
      <w:r>
        <w:rPr>
          <w:rFonts w:ascii="Arial" w:cs="Arial" w:eastAsia="Arial" w:hAnsi="Arial"/>
          <w:sz w:val="22"/>
          <w:szCs w:val="22"/>
        </w:rPr>
        <w:t xml:space="preserve">SMCIはNVIDIAの新世代GPU（Blackwell → Blackwell Ultra → Vera Rubin）のリファレンスパートナーとして機能。NVIDIAが新チップを発表すると同時に、SMCIは対応ラックの量産体制を整備できる関係にある。この「NVIDIA生態系への深い組み込み」は競合他社が模倣困難な構造的優位性である。</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2-4. 製造能力の地理的分散</w:t>
      </w:r>
    </w:p>
    <w:p>
      <w:pPr>
        <w:pStyle w:val="ListParagraph"/>
        <w:numPr>
          <w:ilvl w:val="0"/>
          <w:numId w:val="2"/>
        </w:numPr>
        <w:spacing w:after="40" w:before="40"/>
      </w:pPr>
      <w:r>
        <w:rPr>
          <w:rFonts w:ascii="Arial" w:cs="Arial" w:eastAsia="Arial" w:hAnsi="Arial"/>
          <w:sz w:val="22"/>
          <w:szCs w:val="22"/>
        </w:rPr>
        <w:t xml:space="preserve">米国（シリコンバレー本社）、台湾、マレーシアの三拠点で製造</w:t>
      </w:r>
    </w:p>
    <w:p>
      <w:pPr>
        <w:pStyle w:val="ListParagraph"/>
        <w:numPr>
          <w:ilvl w:val="0"/>
          <w:numId w:val="2"/>
        </w:numPr>
        <w:spacing w:after="40" w:before="40"/>
      </w:pPr>
      <w:r>
        <w:rPr>
          <w:rFonts w:ascii="Arial" w:cs="Arial" w:eastAsia="Arial" w:hAnsi="Arial"/>
          <w:sz w:val="22"/>
          <w:szCs w:val="22"/>
        </w:rPr>
        <w:t xml:space="preserve">月産6,000ラックの体制（うち3,000ラックがDLC対応）</w:t>
      </w:r>
    </w:p>
    <w:p>
      <w:pPr>
        <w:pStyle w:val="ListParagraph"/>
        <w:numPr>
          <w:ilvl w:val="0"/>
          <w:numId w:val="2"/>
        </w:numPr>
        <w:spacing w:after="40" w:before="40"/>
      </w:pPr>
      <w:r>
        <w:rPr>
          <w:rFonts w:ascii="Arial" w:cs="Arial" w:eastAsia="Arial" w:hAnsi="Arial"/>
          <w:sz w:val="22"/>
          <w:szCs w:val="22"/>
        </w:rPr>
        <w:t xml:space="preserve">米国製造比率の高さは、地政学リスクや輸出規制対応の観点でも差別化要因</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2-5. 財務・業績の急拡大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680"/>
        <w:gridCol w:w="16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指標</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FY2022</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FY2023</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FY2024</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FY2025（実績）</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FY2026（予想）</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売上高</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約37億ドル</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約72億ドル</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約149億ドル</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約221億ドル</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約337億ドル以上</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売上成長率</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約+96%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約+110%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約+48%</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約+53%〜65%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粗利益率</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約14%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約11〜12%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13〜14%目標</w:t>
            </w:r>
          </w:p>
        </w:tc>
      </w:tr>
    </w:tbl>
    <w:p>
      <w:pPr>
        <w:spacing w:after="60" w:before="60"/>
      </w:pPr>
      <w:r>
        <w:rPr>
          <w:rFonts w:ascii="Arial" w:cs="Arial" w:eastAsia="Arial" w:hAnsi="Arial"/>
          <w:sz w:val="22"/>
          <w:szCs w:val="22"/>
        </w:rPr>
        <w:t xml:space="preserve">※ 粗利益率は競合に対するシェア争いの中で一時的に圧縮。2026年度は回復傾向。</w:t>
      </w:r>
    </w:p>
    <w:p>
      <w:pPr>
        <w:spacing w:after="60" w:before="60"/>
      </w:pPr>
      <w:r>
        <w:rPr>
          <w:rFonts w:ascii="Arial" w:cs="Arial" w:eastAsia="Arial" w:hAnsi="Arial"/>
          <w:sz w:val="22"/>
          <w:szCs w:val="22"/>
        </w:rPr>
        <w:t xml:space="preserve"/>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3. 10倍株（時価総額2,000億ドル超）になれる要素はあるか？</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現在の時価総額は約270〜290億ドル。10倍達成には時価総額2,700〜2,900億ドルが必要。以下では、現在の「2,000〜3,000億ドル規模の半導体・AIインフラ銘柄」と比較し、その条件に照らし合わせて検討する。</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3-1. 比較対象：2,000〜3,000億ドル規模の代表的AI関連銘柄</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200"/>
        <w:gridCol w:w="1400"/>
        <w:gridCol w:w="16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銘柄</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時価総額（概算）</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PSR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売上成長率</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粗利益率</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Arista Networks (ANET)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約1,200億ドル</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約10〜12倍</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20〜30%台</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約63%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Palo Alto Networks (PANW)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約1,300億ドル</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約15倍</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15〜20%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約75%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Marvell Technology (MRVL)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約600億ドル</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約10倍</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30〜40%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約47%</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SMCI（現在）</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約280億ドル</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約0.88倍</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約50〜65%</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約11〜12%</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SMCIの売上成長率は比較対象を大きく上回る一方、粗利益率（約11〜12%）が圧倒的に低い。PSR0.88倍は「ハードウェア組み立て業」として評価されていることを示す。</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3-2. 10倍株になるための条件と充足度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条件</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充足度</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コメント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大規模市場での支配的ポジション</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AIサーバー市場：2024年の1,240億ドル→2030年に8,540億ドルへ（CAGR約39%）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参入障壁となる独自技術</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DLC技術は優位だが、DellやODMの追随あり</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高い利益率・キャッシュフロー</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粗利益率11〜12%はハードウェア水準。競合がソフト・サービスで高収益を得る構造と異なる</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顧客ロックイン</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ラックレベル統合後のリピート発注あり。ただし価格競争が激化</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不正リスク・ガバナンス問題</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会計不祥事・輸出規制違反疑惑・DOJ起訴が複数存在（詳細は第5章）</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時価総額余地</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PSR0.88倍は低評価。売上高が現在の目標通りに推移すれば再評価余地あり</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総評：純粋な数値上は10倍株の「市場サイズ」「バリュエーションの低さ」「売上成長率」は満たしている。しかし粗利益率の低さとガバナンスリスクが上場来最大の課題。2〜3倍株（時価総額600〜900億ドル）は視野に入るが、10倍は粗利益率の改善とガバナンス正常化が絶対条件。</w:t>
      </w:r>
    </w:p>
    <w:p>
      <w:pPr>
        <w:spacing w:after="60" w:before="60"/>
      </w:pPr>
      <w:r>
        <w:rPr>
          <w:rFonts w:ascii="Arial" w:cs="Arial" w:eastAsia="Arial" w:hAnsi="Arial"/>
          <w:sz w:val="22"/>
          <w:szCs w:val="22"/>
        </w:rPr>
        <w:t xml:space="preserve"/>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4. アナリスト評価</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指標</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内容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コンセンサスレーティング</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「Hold（中立）」18名アナリスト合意</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平均目標株価</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約37〜40ドル（2026年6月時点の株価に対し-10〜+15%前後）</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ブル派（強気）の論拠</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Blackwell Ultra→Vera Rubinへの移行でSMCIが最大恩恵受益者。PSR0.88倍は大幅割安。ガバナンス問題は既に織り込み済み。</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ベア派（弱気）の論拠</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DOJ起訴・輸出規制違反疑惑が業績に直接影響する可能性。粗利益率改善が見えない。ODMによる価格競争激化。</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Needham / Argus（強気派）</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「コイルドスプリング」評価。400億ドル売上目標達成なら大幅上昇余地</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Simply Wall St試算</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理論株価約51ドル（現在株価の約+15〜20%）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PEGレシオ</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0.52倍（1.0倍未満＝割安の指標）</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ショートレシオ</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発行済株式の約13.5%がショートポジション（高い空売り比率）</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アナリストコミュニティは「割安だが買えない理由がある」という微妙なコンセンサスにある。ガバナンスリスクが解消された場合のバリュエーション再評価（リレーティング）余地は相当大きい。</w:t>
      </w:r>
    </w:p>
    <w:p>
      <w:pPr>
        <w:spacing w:after="60" w:before="60"/>
      </w:pPr>
      <w:r>
        <w:rPr>
          <w:rFonts w:ascii="Arial" w:cs="Arial" w:eastAsia="Arial" w:hAnsi="Arial"/>
          <w:sz w:val="22"/>
          <w:szCs w:val="22"/>
        </w:rPr>
        <w:t xml:space="preserve"/>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5. 注意点：繰り返すガバナンス問題</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SMCIの最大のリスクは財務数値ではなく、同社の「コンプライアンス文化」の問題である。以下は時系列順の主要インシデント。</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5-1. 不正インシデントの時系列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時期</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内容</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2020年</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SECが会計不正（収益認識の操作）を認定し、約1,760万ドルの和解金支払い。NASDAQへの上場適格性審査が発生</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2024年8月</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Hindenburg Researchが「会計操作・関連当事者取引の未開示・制裁回避・輸出規制違反」を指摘するショートレポートを発表。翌日、SMCIが年次報告書の提出遅延を発表し株価急落（-21%）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2024年10月</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監査法人EYが「経営陣の透明性・内部統制への懸念」を理由に監査契約を突然解除。上場廃止警告がNASDAQから届く</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2024年後半</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DOJとSECが内部告発をきっかけに各種書類を召喚（サブポエナ）。SMCIは協力姿勢を表明</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2025年2月</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遅延していたFY2024年次報告書と2四半期分の報告書をNASDAQ期限内に提出。EYからBDO（新監査法人）へ移行</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2026年3月19日</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DOJがSMCIの共同創業者Wally Liaw、台湾現地法人GM・Steven Chang、仲介業者Willy Sunの三者を逮捕・起訴。約25億ドル相当のAIサーバーを不法に中国へ輸出したとされる陰謀罪。翌日株価-33.3%の急落</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2026年5月</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証券集団訴訟が複数提起。訴訟対象期間は2024年4月30日〜2026年3月19日</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5-2. 問題の本質</w:t>
      </w:r>
    </w:p>
    <w:p>
      <w:pPr>
        <w:pStyle w:val="ListParagraph"/>
        <w:numPr>
          <w:ilvl w:val="0"/>
          <w:numId w:val="2"/>
        </w:numPr>
        <w:spacing w:after="40" w:before="40"/>
      </w:pPr>
      <w:r>
        <w:rPr>
          <w:rFonts w:ascii="Arial" w:cs="Arial" w:eastAsia="Arial" w:hAnsi="Arial"/>
          <w:sz w:val="22"/>
          <w:szCs w:val="22"/>
        </w:rPr>
        <w:t xml:space="preserve">「SECの和解からわずか3ヶ月後に不正を再開した」という元従業員証言が複数ある（Hindenburg Report）</w:t>
      </w:r>
    </w:p>
    <w:p>
      <w:pPr>
        <w:pStyle w:val="ListParagraph"/>
        <w:numPr>
          <w:ilvl w:val="0"/>
          <w:numId w:val="2"/>
        </w:numPr>
        <w:spacing w:after="40" w:before="40"/>
      </w:pPr>
      <w:r>
        <w:rPr>
          <w:rFonts w:ascii="Arial" w:cs="Arial" w:eastAsia="Arial" w:hAnsi="Arial"/>
          <w:sz w:val="22"/>
          <w:szCs w:val="22"/>
        </w:rPr>
        <w:t xml:space="preserve">共同創業者レベルの起訴は「個人の逸脱」では説明できず、構造的なコンプライアンス欠如を示唆</w:t>
      </w:r>
    </w:p>
    <w:p>
      <w:pPr>
        <w:pStyle w:val="ListParagraph"/>
        <w:numPr>
          <w:ilvl w:val="0"/>
          <w:numId w:val="2"/>
        </w:numPr>
        <w:spacing w:after="40" w:before="40"/>
      </w:pPr>
      <w:r>
        <w:rPr>
          <w:rFonts w:ascii="Arial" w:cs="Arial" w:eastAsia="Arial" w:hAnsi="Arial"/>
          <w:sz w:val="22"/>
          <w:szCs w:val="22"/>
        </w:rPr>
        <w:t xml:space="preserve">CEO Charles Liang自身は今回の起訴に含まれていないが、集団訴訟では「SEC提出書類の内容を管理する権限を持っていた」として個人被告に含まれる</w:t>
      </w:r>
    </w:p>
    <w:p>
      <w:pPr>
        <w:pStyle w:val="ListParagraph"/>
        <w:numPr>
          <w:ilvl w:val="0"/>
          <w:numId w:val="2"/>
        </w:numPr>
        <w:spacing w:after="40" w:before="40"/>
      </w:pPr>
      <w:r>
        <w:rPr>
          <w:rFonts w:ascii="Arial" w:cs="Arial" w:eastAsia="Arial" w:hAnsi="Arial"/>
          <w:sz w:val="22"/>
          <w:szCs w:val="22"/>
        </w:rPr>
        <w:t xml:space="preserve">ガバナンス改革（監査委員会の独立性強化、CCO採用、内部監査部門の300%拡充）は実施されているが、効果の実証にはさらに時間が必要</w:t>
      </w:r>
    </w:p>
    <w:p>
      <w:pPr>
        <w:spacing w:after="60" w:before="60"/>
      </w:pPr>
      <w:r>
        <w:rPr>
          <w:rFonts w:ascii="Arial" w:cs="Arial" w:eastAsia="Arial" w:hAnsi="Arial"/>
          <w:sz w:val="22"/>
          <w:szCs w:val="22"/>
        </w:rPr>
        <w:t xml:space="preserve"/>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6. まとめと投資判断</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観点</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評価</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コメント</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バリュエーション</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割安</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PSR0.88倍・PEG0.52倍・フォワードPER15〜17倍。財務数値上は明確な割安</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市場機会</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 巨大</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AIサーバー市場のCAGR約39%。SMCIは最前線のポジション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技術的競争優位</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強い</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DLC市場70%シェア・ファースト・トゥ・マーケット。ただし模倣リスクあり</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収益性</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 課題あり</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粗利益率11〜12%はハードウェア水準。競合との価格競争が続く</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ガバナンス</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最大懸念</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DOJ起訴・複数の集団訴訟。過去の不正が繰り返されてきた文化的問題</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総合判断</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要注意・高リスク</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ポテンシャルは高いが、ガバナンス問題が解消されるまで投資はリスクが高い</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総括】SMCIはAIサーバーブームの直接受益者として財務的には魅力的な割安感がある。しかし、共同創業者レベルの刑事起訴・SECの調査・複数の集団訴訟という「ガバナンスの連続的失敗」は、単なる財務リスクではなく経営文化の問題として捉えるべきである。</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強気シナリオ（DOJ問題が創業者個人の問題に限定され、FY2026売上高370億ドル超達成）では株価は現在の2〜3倍が視野に入る。一方、弱気シナリオ（法的制裁の拡大・顧客離れ・NVIDIAとの関係悪化）では株価が半値以下になるリスクも存在する。</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投資判断は個人の判断で行ってください。本レポートは情報提供を目的としており、投資勧誘ではありません。</w:t>
      </w:r>
    </w:p>
    <w:p>
      <w:pPr>
        <w:spacing w:after="60" w:before="60"/>
      </w:pPr>
      <w:r>
        <w:rPr>
          <w:rFonts w:ascii="Arial" w:cs="Arial" w:eastAsia="Arial" w:hAnsi="Arial"/>
          <w:sz w:val="22"/>
          <w:szCs w:val="22"/>
        </w:rPr>
        <w:t xml:space="preserve"/>
      </w:r>
    </w:p>
    <w:p>
      <w:pPr>
        <w:pBdr>
          <w:bottom w:val="single" w:color="CCCCCC" w:sz="4" w:space="1"/>
        </w:pBdr>
        <w:spacing w:after="120" w:before="120"/>
      </w:pPr>
    </w:p>
    <w:p>
      <w:pPr>
        <w:spacing w:before="240"/>
        <w:jc w:val="right"/>
      </w:pPr>
      <w:r>
        <w:rPr>
          <w:rFonts w:ascii="Arial" w:cs="Arial" w:eastAsia="Arial" w:hAnsi="Arial"/>
          <w:i/>
          <w:iCs/>
          <w:color w:val="888888"/>
          <w:sz w:val="18"/>
          <w:szCs w:val="18"/>
        </w:rPr>
        <w:t xml:space="preserve">© 2026 テックマネー / TechMoney Channel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2026-06-08T21:26:42.152Z</dcterms:created>
  <dcterms:modified xsi:type="dcterms:W3CDTF">2026-06-08T21:26:42.152Z</dcterms:modified>
</cp:coreProperties>
</file>

<file path=docProps/custom.xml><?xml version="1.0" encoding="utf-8"?>
<Properties xmlns="http://schemas.openxmlformats.org/officeDocument/2006/custom-properties" xmlns:vt="http://schemas.openxmlformats.org/officeDocument/2006/docPropsVTypes"/>
</file>