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EXECUTIVE SUMMARY</w:t>
      </w:r>
    </w:p>
    <w:p>
      <w:pPr>
        <w:spacing w:after="80"/>
        <w:jc w:val="center"/>
      </w:pPr>
      <w:r>
        <w:rPr>
          <w:b/>
          <w:sz w:val="20"/>
        </w:rPr>
        <w:t>Tirap Performance Index (TPI)</w:t>
        <w:br/>
        <w:t>District Performance Monitoring System</w:t>
      </w:r>
    </w:p>
    <w:p>
      <w:pPr>
        <w:spacing w:before="40" w:after="80"/>
        <w:pBdr>
          <w:bottom w:val="single" w:sz="6" w:space="1" w:color="1E3A5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SRS-TPI-UD-001-EXEC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1.0  |  8 June 2026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User Department, District Administration (Tirap)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18"/>
              </w:rPr>
              <w:t>Full SRS reference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docs/05_SRS_User_Department.md (SRS-TPI-UD-001)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22"/>
        </w:rPr>
        <w:t>1. Purpose</w:t>
      </w:r>
    </w:p>
    <w:p>
      <w:pPr>
        <w:spacing w:after="80"/>
      </w:pPr>
      <w:r>
        <w:rPr>
          <w:sz w:val="18"/>
        </w:rPr>
        <w:t>This executive summary supports senior approval of the full Software Requirements Specification (SRS) prepared from the User Department perspective. TPI is a web-based system for monthly monitoring of 14 Key Result Areas (KRAs), ~100 KPIs, and District Commissioner (DC) follow-up on underperformance.</w:t>
      </w:r>
    </w:p>
    <w:p>
      <w:pPr>
        <w:spacing w:before="120" w:after="40"/>
      </w:pPr>
      <w:r>
        <w:rPr>
          <w:b/>
          <w:color w:val="1E3A5F"/>
          <w:sz w:val="22"/>
        </w:rPr>
        <w:t>2. Problem &amp; Solution</w:t>
      </w:r>
    </w:p>
    <w:p>
      <w:pPr>
        <w:pStyle w:val="ListBullet"/>
        <w:spacing w:after="20" w:before="0"/>
      </w:pPr>
      <w:r>
        <w:rPr>
          <w:sz w:val="18"/>
        </w:rPr>
        <w:t>Problem: DC review data is scattered — who is RED, who has not submitted, and which targets are overdue is unclear.</w:t>
      </w:r>
    </w:p>
    <w:p>
      <w:pPr>
        <w:pStyle w:val="ListBullet"/>
        <w:spacing w:after="20" w:before="0"/>
      </w:pPr>
      <w:r>
        <w:rPr>
          <w:sz w:val="18"/>
        </w:rPr>
        <w:t>Solution: One dashboard (Command Center) plus submission tracker, target follow-up, action tracker, history, and meeting exports.</w:t>
      </w:r>
    </w:p>
    <w:p>
      <w:pPr>
        <w:spacing w:before="120" w:after="40"/>
      </w:pPr>
      <w:r>
        <w:rPr>
          <w:b/>
          <w:color w:val="1E3A5F"/>
          <w:sz w:val="22"/>
        </w:rPr>
        <w:t>3.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Primary use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District Commissioner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Daily alerts, monthly review, set targets, export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14 KRA Nodal Officers (HoD)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DEPT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Submit previous month KPI actuals once per cycle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District IT / DIO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Deploy, backup SQL Server, manage users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22"/>
        </w:rPr>
        <w:t>4. Core Capabilities (Must-Have)</w:t>
      </w:r>
    </w:p>
    <w:p>
      <w:pPr>
        <w:pStyle w:val="ListBullet"/>
        <w:spacing w:after="0" w:before="0"/>
      </w:pPr>
      <w:r>
        <w:rPr>
          <w:sz w:val="18"/>
        </w:rPr>
        <w:t>Command Center — TPI gauge, 14-KRA heatmap, pending submissions, RED departments, overdue targets</w:t>
      </w:r>
    </w:p>
    <w:p>
      <w:pPr>
        <w:pStyle w:val="ListBullet"/>
        <w:spacing w:after="0" w:before="0"/>
      </w:pPr>
      <w:r>
        <w:rPr>
          <w:sz w:val="18"/>
        </w:rPr>
        <w:t>Submission tracker — 14 departments × submitted / pending / late</w:t>
      </w:r>
    </w:p>
    <w:p>
      <w:pPr>
        <w:pStyle w:val="ListBullet"/>
        <w:spacing w:after="0" w:before="0"/>
      </w:pPr>
      <w:r>
        <w:rPr>
          <w:sz w:val="18"/>
        </w:rPr>
        <w:t>Target follow-up — DC commitments checked against current month (no manual month switch)</w:t>
      </w:r>
    </w:p>
    <w:p>
      <w:pPr>
        <w:pStyle w:val="ListBullet"/>
        <w:spacing w:after="0" w:before="0"/>
      </w:pPr>
      <w:r>
        <w:rPr>
          <w:sz w:val="18"/>
        </w:rPr>
        <w:t>Action tracker — set targets for RED KPIs; review prior commitments</w:t>
      </w:r>
    </w:p>
    <w:p>
      <w:pPr>
        <w:pStyle w:val="ListBullet"/>
        <w:spacing w:after="0" w:before="0"/>
      </w:pPr>
      <w:r>
        <w:rPr>
          <w:sz w:val="18"/>
        </w:rPr>
        <w:t>KRA drill-down — all KPIs with actual vs target</w:t>
      </w:r>
    </w:p>
    <w:p>
      <w:pPr>
        <w:pStyle w:val="ListBullet"/>
        <w:spacing w:after="0" w:before="0"/>
      </w:pPr>
      <w:r>
        <w:rPr>
          <w:sz w:val="18"/>
        </w:rPr>
        <w:t>History — 3/6 month trends, all departments, distinct colours per KRA</w:t>
      </w:r>
    </w:p>
    <w:p>
      <w:pPr>
        <w:pStyle w:val="ListBullet"/>
        <w:spacing w:after="0" w:before="0"/>
      </w:pPr>
      <w:r>
        <w:rPr>
          <w:sz w:val="18"/>
        </w:rPr>
        <w:t>Export — Excel (CSV) and PDF (print-ready HTML) for review meetings</w:t>
      </w:r>
    </w:p>
    <w:p>
      <w:pPr>
        <w:spacing w:before="120" w:after="40"/>
      </w:pPr>
      <w:r>
        <w:rPr>
          <w:b/>
          <w:color w:val="1E3A5F"/>
          <w:sz w:val="22"/>
        </w:rPr>
        <w:t>5. Reporting Cycle &amp; RAG Rules</w:t>
      </w:r>
    </w:p>
    <w:p>
      <w:pPr>
        <w:spacing w:after="60"/>
      </w:pPr>
      <w:r>
        <w:rPr>
          <w:b/>
          <w:sz w:val="18"/>
        </w:rPr>
        <w:t xml:space="preserve">Cycle: </w:t>
      </w:r>
      <w:r>
        <w:rPr>
          <w:sz w:val="18"/>
        </w:rPr>
        <w:t>Departments submit previous calendar month only (e.g. in June → May data). DC reviews previous month by default. Target follow-up uses current month scores.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RAG Status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Score (0–100)</w:t>
            </w:r>
          </w:p>
        </w:tc>
        <w:tc>
          <w:tcPr>
            <w:tcW w:type="dxa" w:w="345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≥ 90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On track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YELLOW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70 – 89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Watch list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&lt; 70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Mandatory DC action plan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22"/>
        </w:rPr>
        <w:t>6. Deployment &amp; Scope</w:t>
      </w:r>
    </w:p>
    <w:p>
      <w:pPr>
        <w:pStyle w:val="ListBullet"/>
        <w:spacing w:after="0" w:before="0"/>
      </w:pPr>
      <w:r>
        <w:rPr>
          <w:sz w:val="18"/>
        </w:rPr>
        <w:t>Runs on district laptop or office LAN — SQL Server + Node API + browser; cloud hosting not required.</w:t>
      </w:r>
    </w:p>
    <w:p>
      <w:pPr>
        <w:pStyle w:val="ListBullet"/>
        <w:spacing w:after="0" w:before="0"/>
      </w:pPr>
      <w:r>
        <w:rPr>
          <w:sz w:val="18"/>
        </w:rPr>
        <w:t>Multi-district ready — separate database and DistrictConfig per district.</w:t>
      </w:r>
    </w:p>
    <w:p>
      <w:pPr>
        <w:pStyle w:val="ListBullet"/>
        <w:spacing w:after="0" w:before="0"/>
      </w:pPr>
      <w:r>
        <w:rPr>
          <w:sz w:val="18"/>
        </w:rPr>
        <w:t>Out of scope (v1.0): mobile apps, SMS alerts, automatic pull from external MIS, state-level dashboard.</w:t>
      </w:r>
    </w:p>
    <w:p>
      <w:pPr>
        <w:spacing w:before="120" w:after="40"/>
      </w:pPr>
      <w:r>
        <w:rPr>
          <w:b/>
          <w:color w:val="1E3A5F"/>
          <w:sz w:val="22"/>
        </w:rPr>
        <w:t>7. Recommendation</w:t>
      </w:r>
    </w:p>
    <w:p>
      <w:pPr>
        <w:spacing w:after="120"/>
      </w:pPr>
      <w:r>
        <w:rPr>
          <w:sz w:val="18"/>
        </w:rPr>
        <w:t>User Department recommends approval of SRS-TPI-UD-001 for User Acceptance Testing (UAT) and operational use by DC office and 14 KRAs. Full SRS contains 60+ functional requirements, 6 use cases, business rules, and sign-off criteria.</w:t>
      </w:r>
    </w:p>
    <w:p>
      <w:pPr>
        <w:spacing w:before="120" w:after="40"/>
      </w:pPr>
      <w:r>
        <w:rPr>
          <w:b/>
          <w:color w:val="1E3A5F"/>
          <w:sz w:val="22"/>
        </w:rPr>
        <w:t>8. Approval (Sign-Off)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District Commissioner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 Department Nodal Officer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District Informatics Officer (IT)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Development / Implementation Lead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</w:tbl>
    <w:p>
      <w:pPr>
        <w:jc w:val="center"/>
      </w:pPr>
      <w:r>
        <w:rPr>
          <w:i/>
          <w:color w:val="5C6B7A"/>
          <w:sz w:val="14"/>
        </w:rPr>
        <w:t>Tirap Performance Index  |  Executive Summary of SRS-TPI-UD-001  |  User Department, Tirap District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