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2"/>
        </w:rPr>
        <w:t>Tirap Performance Index (TPI)</w:t>
      </w:r>
    </w:p>
    <w:p>
      <w:pPr>
        <w:jc w:val="center"/>
      </w:pPr>
      <w:r>
        <w:rPr>
          <w:color w:val="5C6B7A"/>
          <w:sz w:val="18"/>
        </w:rPr>
        <w:t>01 DC User Guide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32"/>
        </w:rPr>
        <w:t>Tirap Performance Index (TPI) — DC Briefing Guide</w:t>
      </w:r>
    </w:p>
    <w:p>
      <w:pPr>
        <w:spacing w:after="80"/>
      </w:pPr>
      <w:r>
        <w:rPr>
          <w:b/>
        </w:rPr>
        <w:t>Audience:</w:t>
      </w:r>
      <w:r>
        <w:t xml:space="preserve"> District Commissioner and review meeting</w:t>
      </w:r>
    </w:p>
    <w:p>
      <w:pPr>
        <w:spacing w:after="80"/>
      </w:pPr>
      <w:r>
        <w:rPr>
          <w:b/>
        </w:rPr>
        <w:t>URL (admin):</w:t>
      </w:r>
      <w:r>
        <w:t xml:space="preserve"> </w:t>
      </w:r>
      <w:r>
        <w:rPr>
          <w:rFonts w:ascii="Consolas" w:hAnsi="Consolas"/>
          <w:color w:val="333333"/>
          <w:sz w:val="18"/>
        </w:rPr>
        <w:t>http://localhost:3000/admindashboard</w:t>
      </w:r>
    </w:p>
    <w:p>
      <w:pPr>
        <w:spacing w:after="80"/>
      </w:pPr>
      <w:r>
        <w:rPr>
          <w:b/>
        </w:rPr>
        <w:t>Login:</w:t>
      </w:r>
      <w:r>
        <w:t xml:space="preserve"> </w:t>
      </w:r>
      <w:r>
        <w:rPr>
          <w:rFonts w:ascii="Consolas" w:hAnsi="Consolas"/>
          <w:color w:val="333333"/>
          <w:sz w:val="18"/>
        </w:rPr>
        <w:t>admin</w:t>
      </w:r>
      <w:r>
        <w:t xml:space="preserve"> / </w:t>
      </w:r>
      <w:r>
        <w:rPr>
          <w:rFonts w:ascii="Consolas" w:hAnsi="Consolas"/>
          <w:color w:val="333333"/>
          <w:sz w:val="18"/>
        </w:rPr>
        <w:t>admin123</w:t>
      </w:r>
      <w:r>
        <w:t xml:space="preserve"> (change before production)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1. What this system does (one sentence)</w:t>
      </w:r>
    </w:p>
    <w:p>
      <w:pPr>
        <w:spacing w:after="80"/>
      </w:pPr>
      <w:r>
        <w:t xml:space="preserve">TPI is a </w:t>
      </w:r>
      <w:r>
        <w:rPr>
          <w:b/>
        </w:rPr>
        <w:t>monthly district performance cockpit</w:t>
      </w:r>
      <w:r>
        <w:t xml:space="preserve"> — it shows who is underperforming (RED), who has not filed data, which DC targets are overdue, and lets you set follow-up actions and export a review pack for meetings.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2. Reporting cycle (important for DC)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Who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What month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When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Departments (HoDs)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Enter previous calendar month only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From 1st of current month until deadline (default: 1st, 11:00 PM)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DC (you)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Review previous month performance by default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Any time after departments submit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Target follow-up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Checks if commitments were met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Uses current month scores automatically — no manual month switch</w:t>
            </w:r>
          </w:p>
        </w:tc>
      </w:tr>
    </w:tbl>
    <w:p/>
    <w:p>
      <w:pPr>
        <w:spacing w:after="80"/>
      </w:pPr>
      <w:r>
        <w:rPr>
          <w:b/>
        </w:rPr>
        <w:t>Example (today = June 2026):</w:t>
      </w:r>
    </w:p>
    <w:p>
      <w:pPr>
        <w:pStyle w:val="ListBullet"/>
        <w:spacing w:after="40"/>
      </w:pPr>
      <w:r>
        <w:t xml:space="preserve">Departments submit </w:t>
      </w:r>
      <w:r>
        <w:rPr>
          <w:b/>
        </w:rPr>
        <w:t>May 2026</w:t>
      </w:r>
      <w:r>
        <w:t xml:space="preserve"> data in June.</w:t>
      </w:r>
    </w:p>
    <w:p>
      <w:pPr>
        <w:pStyle w:val="ListBullet"/>
        <w:spacing w:after="40"/>
      </w:pPr>
      <w:r>
        <w:t xml:space="preserve">DC dashboard opens on </w:t>
      </w:r>
      <w:r>
        <w:rPr>
          <w:b/>
        </w:rPr>
        <w:t>May 2026</w:t>
      </w:r>
      <w:r>
        <w:t xml:space="preserve"> by default.</w:t>
      </w:r>
    </w:p>
    <w:p>
      <w:pPr>
        <w:pStyle w:val="ListBullet"/>
        <w:spacing w:after="40"/>
      </w:pPr>
      <w:r>
        <w:t>Target follow-up checks June scores against prior commitments.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3. Sidebar — what each tab is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Tab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Daily use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Command Center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Home screen — RED departments, pending submissions, overdue targets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Start here every morning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Submissions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14 departments × submitted / pending / late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Before review meeting — who has not filed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Target Follow-up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Open DC commitments due or overdue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Track if HoDs met promised scores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KRA Overview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Heatmap + detailed table of all 14 KRAs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Monthly review, ranking discussion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Action Tracker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Set targets for new RED indicators; review old commitments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After identifying RED KPIs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History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Last 3 or 6 months trend — all departments, different colours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Quarterly / half-yearly review</w:t>
            </w:r>
          </w:p>
        </w:tc>
      </w:tr>
    </w:tbl>
    <w:p/>
    <w:p>
      <w:pPr>
        <w:spacing w:after="80"/>
      </w:pPr>
      <w:r>
        <w:rPr>
          <w:b/>
        </w:rPr>
        <w:t>Badges on sidebar:</w:t>
      </w:r>
      <w:r>
        <w:t xml:space="preserve"> numbers show pending submissions, overdue targets, or open action items.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4. Command Center — how to use (5 minutes)</w:t>
      </w:r>
    </w:p>
    <w:p>
      <w:pPr>
        <w:spacing w:before="120" w:after="80"/>
      </w:pPr>
      <w:r>
        <w:rPr>
          <w:b/>
          <w:color w:val="1E3A5F"/>
          <w:sz w:val="22"/>
        </w:rPr>
        <w:t>Top section</w:t>
      </w:r>
    </w:p>
    <w:p>
      <w:pPr>
        <w:pStyle w:val="ListBullet"/>
        <w:spacing w:after="40"/>
      </w:pPr>
      <w:r>
        <w:rPr>
          <w:b/>
        </w:rPr>
        <w:t>TPI gauge</w:t>
      </w:r>
      <w:r>
        <w:t xml:space="preserve"> — district score 0–100 (green ≥90, yellow 70–89, red &amp;lt;70).</w:t>
      </w:r>
    </w:p>
    <w:p>
      <w:pPr>
        <w:pStyle w:val="ListBullet"/>
        <w:spacing w:after="40"/>
      </w:pPr>
      <w:r>
        <w:rPr>
          <w:b/>
        </w:rPr>
        <w:t>KRA heatmap</w:t>
      </w:r>
      <w:r>
        <w:t xml:space="preserve"> — 14 tiles, colour = performance. </w:t>
      </w:r>
      <w:r>
        <w:rPr>
          <w:b/>
        </w:rPr>
        <w:t>Click any tile</w:t>
      </w:r>
      <w:r>
        <w:t xml:space="preserve"> → all KPIs with actual vs target.</w:t>
      </w:r>
    </w:p>
    <w:p>
      <w:pPr>
        <w:spacing w:before="120" w:after="80"/>
      </w:pPr>
      <w:r>
        <w:rPr>
          <w:b/>
          <w:color w:val="1E3A5F"/>
          <w:sz w:val="22"/>
        </w:rPr>
        <w:t>Alert cards (clickable)</w:t>
      </w:r>
    </w:p>
    <w:p>
      <w:pPr>
        <w:pStyle w:val="ListNumber"/>
        <w:spacing w:after="40"/>
      </w:pPr>
      <w:r>
        <w:rPr>
          <w:b/>
        </w:rPr>
        <w:t>Pending submissions</w:t>
      </w:r>
      <w:r>
        <w:t xml:space="preserve"> → opens Submissions tab</w:t>
      </w:r>
    </w:p>
    <w:p>
      <w:pPr>
        <w:pStyle w:val="ListNumber"/>
        <w:spacing w:after="40"/>
      </w:pPr>
      <w:r>
        <w:rPr>
          <w:b/>
        </w:rPr>
        <w:t>Overdue targets</w:t>
      </w:r>
      <w:r>
        <w:t xml:space="preserve"> → opens Target Follow-up</w:t>
      </w:r>
    </w:p>
    <w:p>
      <w:pPr>
        <w:pStyle w:val="ListNumber"/>
        <w:spacing w:after="40"/>
      </w:pPr>
      <w:r>
        <w:rPr>
          <w:b/>
        </w:rPr>
        <w:t>Departments with RED</w:t>
      </w:r>
      <w:r>
        <w:t xml:space="preserve"> → opens KRA Overview</w:t>
      </w:r>
    </w:p>
    <w:p>
      <w:pPr>
        <w:pStyle w:val="ListNumber"/>
        <w:spacing w:after="40"/>
      </w:pPr>
      <w:r>
        <w:rPr>
          <w:b/>
        </w:rPr>
        <w:t>Submitted on time</w:t>
      </w:r>
      <w:r>
        <w:t xml:space="preserve"> → submission progress (e.g. 12/14)</w:t>
      </w:r>
    </w:p>
    <w:p>
      <w:pPr>
        <w:spacing w:before="120" w:after="80"/>
      </w:pPr>
      <w:r>
        <w:rPr>
          <w:b/>
          <w:color w:val="1E3A5F"/>
          <w:sz w:val="22"/>
        </w:rPr>
        <w:t>Three panels</w:t>
      </w:r>
    </w:p>
    <w:p>
      <w:pPr>
        <w:pStyle w:val="ListBullet"/>
        <w:spacing w:after="40"/>
      </w:pPr>
      <w:r>
        <w:rPr>
          <w:b/>
        </w:rPr>
        <w:t>Who hasn’t submitted?</w:t>
      </w:r>
      <w:r>
        <w:t xml:space="preserve"> — pending departments for active reporting month</w:t>
      </w:r>
    </w:p>
    <w:p>
      <w:pPr>
        <w:pStyle w:val="ListBullet"/>
        <w:spacing w:after="40"/>
      </w:pPr>
      <w:r>
        <w:rPr>
          <w:b/>
        </w:rPr>
        <w:t>Who is RED?</w:t>
      </w:r>
      <w:r>
        <w:t xml:space="preserve"> — click department → KPI drill-down</w:t>
      </w:r>
    </w:p>
    <w:p>
      <w:pPr>
        <w:pStyle w:val="ListBullet"/>
        <w:spacing w:after="40"/>
      </w:pPr>
      <w:r>
        <w:rPr>
          <w:b/>
        </w:rPr>
        <w:t>Overdue / due targets</w:t>
      </w:r>
      <w:r>
        <w:t xml:space="preserve"> — top items; “Open full follow-up” for complete list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5. Submissions tab</w:t>
      </w:r>
    </w:p>
    <w:p>
      <w:pPr>
        <w:spacing w:after="80"/>
      </w:pPr>
      <w:r>
        <w:t>Table: all 14 departments with status:</w:t>
      </w:r>
    </w:p>
    <w:p>
      <w:pPr>
        <w:pStyle w:val="ListBullet"/>
        <w:spacing w:after="40"/>
      </w:pPr>
      <w:r>
        <w:rPr>
          <w:b/>
        </w:rPr>
        <w:t>Submitted on time</w:t>
      </w:r>
      <w:r>
        <w:t xml:space="preserve"> (green)</w:t>
      </w:r>
    </w:p>
    <w:p>
      <w:pPr>
        <w:pStyle w:val="ListBullet"/>
        <w:spacing w:after="40"/>
      </w:pPr>
      <w:r>
        <w:rPr>
          <w:b/>
        </w:rPr>
        <w:t>Submitted late</w:t>
      </w:r>
      <w:r>
        <w:t xml:space="preserve"> (red)</w:t>
      </w:r>
    </w:p>
    <w:p>
      <w:pPr>
        <w:pStyle w:val="ListBullet"/>
        <w:spacing w:after="40"/>
      </w:pPr>
      <w:r>
        <w:rPr>
          <w:b/>
        </w:rPr>
        <w:t>Pending</w:t>
      </w:r>
      <w:r>
        <w:t xml:space="preserve"> (amber)</w:t>
      </w:r>
    </w:p>
    <w:p>
      <w:pPr>
        <w:spacing w:after="80"/>
      </w:pPr>
      <w:r>
        <w:t xml:space="preserve">Use before DC conference: </w:t>
      </w:r>
      <w:r>
        <w:t>“X departments have not filed May data.”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6. Target Follow-up tab</w:t>
      </w:r>
    </w:p>
    <w:p>
      <w:pPr>
        <w:pStyle w:val="ListBullet"/>
        <w:spacing w:after="40"/>
      </w:pPr>
      <w:r>
        <w:t xml:space="preserve">Lists commitments where DC set a </w:t>
      </w:r>
      <w:r>
        <w:rPr>
          <w:b/>
        </w:rPr>
        <w:t>target score</w:t>
      </w:r>
      <w:r>
        <w:t xml:space="preserve"> and </w:t>
      </w:r>
      <w:r>
        <w:rPr>
          <w:b/>
        </w:rPr>
        <w:t>due date</w:t>
      </w:r>
      <w:r>
        <w:t>.</w:t>
      </w:r>
    </w:p>
    <w:p>
      <w:pPr>
        <w:pStyle w:val="ListBullet"/>
        <w:spacing w:after="40"/>
      </w:pPr>
      <w:r>
        <w:rPr>
          <w:b/>
        </w:rPr>
        <w:t>Deviation</w:t>
      </w:r>
      <w:r>
        <w:t xml:space="preserve"> = actual score − target (current month checked automatically).</w:t>
      </w:r>
    </w:p>
    <w:p>
      <w:pPr>
        <w:pStyle w:val="ListBullet"/>
        <w:spacing w:after="40"/>
      </w:pPr>
      <w:r>
        <w:t xml:space="preserve">Expand a row → update </w:t>
      </w:r>
      <w:r>
        <w:rPr>
          <w:b/>
        </w:rPr>
        <w:t>completion status</w:t>
      </w:r>
      <w:r>
        <w:t xml:space="preserve"> and </w:t>
      </w:r>
      <w:r>
        <w:rPr>
          <w:b/>
        </w:rPr>
        <w:t>DC remarks</w:t>
      </w:r>
      <w:r>
        <w:t xml:space="preserve"> → Save review.</w:t>
      </w:r>
    </w:p>
    <w:p>
      <w:pPr>
        <w:spacing w:after="80"/>
      </w:pPr>
      <w:r>
        <w:t>Statuses: PENDING, IN_PROGRESS, PARTIAL, COMPLETED, MISSED.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7. KRA Overview</w:t>
      </w:r>
    </w:p>
    <w:p>
      <w:pPr>
        <w:pStyle w:val="ListBullet"/>
        <w:spacing w:after="40"/>
      </w:pPr>
      <w:r>
        <w:rPr>
          <w:b/>
        </w:rPr>
        <w:t>Heatmap</w:t>
      </w:r>
      <w:r>
        <w:t xml:space="preserve"> — visual snapshot of all 14 KRAs.</w:t>
      </w:r>
    </w:p>
    <w:p>
      <w:pPr>
        <w:pStyle w:val="ListBullet"/>
        <w:spacing w:after="40"/>
      </w:pPr>
      <w:r>
        <w:rPr>
          <w:b/>
        </w:rPr>
        <w:t>Table</w:t>
      </w:r>
      <w:r>
        <w:t xml:space="preserve"> — rank, score, G/Y/R counts, trend.</w:t>
      </w:r>
    </w:p>
    <w:p>
      <w:pPr>
        <w:pStyle w:val="ListBullet"/>
        <w:spacing w:after="40"/>
      </w:pPr>
      <w:r>
        <w:rPr>
          <w:b/>
        </w:rPr>
        <w:t>Click KRA name</w:t>
      </w:r>
      <w:r>
        <w:t xml:space="preserve"> → modal with every KPI, actual value, score, DC target, deviation.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8. Action Tracker</w:t>
      </w:r>
    </w:p>
    <w:p>
      <w:pPr>
        <w:spacing w:after="80"/>
      </w:pPr>
      <w:r>
        <w:t xml:space="preserve">Grouped </w:t>
      </w:r>
      <w:r>
        <w:rPr>
          <w:b/>
        </w:rPr>
        <w:t>by department</w:t>
      </w:r>
      <w:r>
        <w:t xml:space="preserve"> (less scrolling).</w:t>
      </w:r>
    </w:p>
    <w:p>
      <w:pPr>
        <w:spacing w:before="120" w:after="80"/>
      </w:pPr>
      <w:r>
        <w:rPr>
          <w:b/>
          <w:color w:val="1E3A5F"/>
          <w:sz w:val="22"/>
        </w:rPr>
        <w:t>Section A — New RED indicators (this month)</w:t>
      </w:r>
    </w:p>
    <w:p>
      <w:pPr>
        <w:spacing w:after="80"/>
      </w:pPr>
      <w:r>
        <w:t>For each RED KPI:</w:t>
      </w:r>
    </w:p>
    <w:p>
      <w:pPr>
        <w:pStyle w:val="ListNumber"/>
        <w:spacing w:after="40"/>
      </w:pPr>
      <w:r>
        <w:t>Expand department group → expand indicator</w:t>
      </w:r>
    </w:p>
    <w:p>
      <w:pPr>
        <w:pStyle w:val="ListNumber"/>
        <w:spacing w:after="40"/>
      </w:pPr>
      <w:r>
        <w:t xml:space="preserve">Set </w:t>
      </w:r>
      <w:r>
        <w:rPr>
          <w:b/>
        </w:rPr>
        <w:t>action owner</w:t>
      </w:r>
      <w:r>
        <w:t xml:space="preserve">, </w:t>
      </w:r>
      <w:r>
        <w:rPr>
          <w:b/>
        </w:rPr>
        <w:t>target score</w:t>
      </w:r>
      <w:r>
        <w:t xml:space="preserve">, </w:t>
      </w:r>
      <w:r>
        <w:rPr>
          <w:b/>
        </w:rPr>
        <w:t>due date</w:t>
      </w:r>
      <w:r>
        <w:t xml:space="preserve">, </w:t>
      </w:r>
      <w:r>
        <w:rPr>
          <w:b/>
        </w:rPr>
        <w:t>action plan</w:t>
      </w:r>
    </w:p>
    <w:p>
      <w:pPr>
        <w:pStyle w:val="ListNumber"/>
        <w:spacing w:after="40"/>
      </w:pPr>
      <w:r>
        <w:rPr>
          <w:b/>
        </w:rPr>
        <w:t>Save target</w:t>
      </w:r>
      <w:r>
        <w:t xml:space="preserve"> — appears in Target Follow-up when due</w:t>
      </w:r>
    </w:p>
    <w:p>
      <w:pPr>
        <w:spacing w:before="120" w:after="80"/>
      </w:pPr>
      <w:r>
        <w:rPr>
          <w:b/>
          <w:color w:val="1E3A5F"/>
          <w:sz w:val="22"/>
        </w:rPr>
        <w:t>Section B — Prior commitments</w:t>
      </w:r>
    </w:p>
    <w:p>
      <w:pPr>
        <w:spacing w:after="80"/>
      </w:pPr>
      <w:r>
        <w:t>Review whether last month’s targets were met; save completion status and remarks.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9. History tab</w:t>
      </w:r>
    </w:p>
    <w:p>
      <w:pPr>
        <w:pStyle w:val="ListBullet"/>
        <w:spacing w:after="40"/>
      </w:pPr>
      <w:r>
        <w:t xml:space="preserve">Toggle </w:t>
      </w:r>
      <w:r>
        <w:rPr>
          <w:b/>
        </w:rPr>
        <w:t>Last 3 months</w:t>
      </w:r>
      <w:r>
        <w:t xml:space="preserve"> or </w:t>
      </w:r>
      <w:r>
        <w:rPr>
          <w:b/>
        </w:rPr>
        <w:t>Last 6 months</w:t>
      </w:r>
      <w:r>
        <w:t>.</w:t>
      </w:r>
    </w:p>
    <w:p>
      <w:pPr>
        <w:pStyle w:val="ListBullet"/>
        <w:spacing w:after="40"/>
      </w:pPr>
      <w:r>
        <w:rPr>
          <w:b/>
        </w:rPr>
        <w:t>Grouped bar chart</w:t>
      </w:r>
      <w:r>
        <w:t xml:space="preserve"> — each department has its own colour across months.</w:t>
      </w:r>
    </w:p>
    <w:p>
      <w:pPr>
        <w:pStyle w:val="ListBullet"/>
        <w:spacing w:after="40"/>
      </w:pPr>
      <w:r>
        <w:t>Click department in table or legend → monthly trend for that KRA.</w:t>
      </w:r>
    </w:p>
    <w:p>
      <w:pPr>
        <w:pStyle w:val="ListBullet"/>
        <w:spacing w:after="40"/>
      </w:pPr>
      <w:r>
        <w:t xml:space="preserve">Use for: </w:t>
      </w:r>
      <w:r>
        <w:t>“Is Health improving over 6 months?”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10. Export for meetings (toolbar)</w:t>
      </w:r>
    </w:p>
    <w:p>
      <w:pPr>
        <w:spacing w:after="80"/>
      </w:pPr>
      <w:r>
        <w:t>Available on most tabs: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Button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Output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Use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Excel (CSV)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`TPI-Review-May-2026.csv`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Edit in Excel, share with secy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PDF Report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HTML file → browser Print → Save as PDF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Monthly review pack</w:t>
            </w:r>
          </w:p>
        </w:tc>
      </w:tr>
    </w:tbl>
    <w:p/>
    <w:p>
      <w:pPr>
        <w:spacing w:after="80"/>
      </w:pPr>
      <w:r>
        <w:t>CSV/HTML includes: district TPI, submissions, KRA scores, target follow-up, RED indicators.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11. Department portal (for HoDs)</w:t>
      </w:r>
    </w:p>
    <w:p>
      <w:pPr>
        <w:spacing w:after="80"/>
      </w:pPr>
      <w:r>
        <w:rPr>
          <w:b/>
        </w:rPr>
        <w:t>URL:</w:t>
      </w:r>
      <w:r>
        <w:t xml:space="preserve"> </w:t>
      </w:r>
      <w:r>
        <w:rPr>
          <w:rFonts w:ascii="Consolas" w:hAnsi="Consolas"/>
          <w:color w:val="333333"/>
          <w:sz w:val="18"/>
        </w:rPr>
        <w:t>http://localhost:3000/deptdashboard</w:t>
      </w:r>
    </w:p>
    <w:p>
      <w:pPr>
        <w:spacing w:after="80"/>
      </w:pPr>
      <w:r>
        <w:rPr>
          <w:b/>
        </w:rPr>
        <w:t>Example HoD logins:</w:t>
      </w:r>
      <w:r>
        <w:t xml:space="preserve"> </w:t>
      </w:r>
      <w:r>
        <w:rPr>
          <w:rFonts w:ascii="Consolas" w:hAnsi="Consolas"/>
          <w:color w:val="333333"/>
          <w:sz w:val="18"/>
        </w:rPr>
        <w:t>d08_police</w:t>
      </w:r>
      <w:r>
        <w:t xml:space="preserve"> / </w:t>
      </w:r>
      <w:r>
        <w:rPr>
          <w:rFonts w:ascii="Consolas" w:hAnsi="Consolas"/>
          <w:color w:val="333333"/>
          <w:sz w:val="18"/>
        </w:rPr>
        <w:t>123</w:t>
      </w:r>
      <w:r>
        <w:t xml:space="preserve">, </w:t>
      </w:r>
      <w:r>
        <w:rPr>
          <w:rFonts w:ascii="Consolas" w:hAnsi="Consolas"/>
          <w:color w:val="333333"/>
          <w:sz w:val="18"/>
        </w:rPr>
        <w:t>d01_health_nhm</w:t>
      </w:r>
      <w:r>
        <w:t xml:space="preserve"> / </w:t>
      </w:r>
      <w:r>
        <w:rPr>
          <w:rFonts w:ascii="Consolas" w:hAnsi="Consolas"/>
          <w:color w:val="333333"/>
          <w:sz w:val="18"/>
        </w:rPr>
        <w:t>123</w:t>
      </w:r>
      <w:r>
        <w:t xml:space="preserve"> (username starts with dept code, e.g. </w:t>
      </w:r>
      <w:r>
        <w:rPr>
          <w:rFonts w:ascii="Consolas" w:hAnsi="Consolas"/>
          <w:color w:val="333333"/>
          <w:sz w:val="18"/>
        </w:rPr>
        <w:t>d07_power_discom</w:t>
      </w:r>
      <w:r>
        <w:t xml:space="preserve"> = D07 DISCOM)</w:t>
      </w:r>
    </w:p>
    <w:p>
      <w:pPr>
        <w:spacing w:after="80"/>
      </w:pPr>
      <w:r>
        <w:t>HoDs can:</w:t>
      </w:r>
    </w:p>
    <w:p>
      <w:pPr>
        <w:pStyle w:val="ListBullet"/>
        <w:spacing w:after="40"/>
      </w:pPr>
      <w:r>
        <w:t xml:space="preserve">Enter KPI actuals for </w:t>
      </w:r>
      <w:r>
        <w:rPr>
          <w:b/>
        </w:rPr>
        <w:t>locked reporting month only</w:t>
      </w:r>
    </w:p>
    <w:p>
      <w:pPr>
        <w:pStyle w:val="ListBullet"/>
        <w:spacing w:after="40"/>
      </w:pPr>
      <w:r>
        <w:t>Submit once per month (update allowed until deadline)</w:t>
      </w:r>
    </w:p>
    <w:p>
      <w:pPr>
        <w:pStyle w:val="ListBullet"/>
        <w:spacing w:after="40"/>
      </w:pPr>
      <w:r>
        <w:t>View DC targets and action plans (read-only)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12. Suggested DC daily / monthly routine</w:t>
      </w:r>
    </w:p>
    <w:p>
      <w:pPr>
        <w:spacing w:before="120" w:after="80"/>
      </w:pPr>
      <w:r>
        <w:rPr>
          <w:b/>
          <w:color w:val="1E3A5F"/>
          <w:sz w:val="22"/>
        </w:rPr>
        <w:t>Daily (2 min)</w:t>
      </w:r>
    </w:p>
    <w:p>
      <w:pPr>
        <w:pStyle w:val="ListNumber"/>
        <w:spacing w:after="40"/>
      </w:pPr>
      <w:r>
        <w:t xml:space="preserve">Open </w:t>
      </w:r>
      <w:r>
        <w:rPr>
          <w:b/>
        </w:rPr>
        <w:t>Command Center</w:t>
      </w:r>
    </w:p>
    <w:p>
      <w:pPr>
        <w:pStyle w:val="ListNumber"/>
        <w:spacing w:after="40"/>
      </w:pPr>
      <w:r>
        <w:t>Check pending submissions badge</w:t>
      </w:r>
    </w:p>
    <w:p>
      <w:pPr>
        <w:pStyle w:val="ListNumber"/>
        <w:spacing w:after="40"/>
      </w:pPr>
      <w:r>
        <w:t>Check overdue targets badge</w:t>
      </w:r>
    </w:p>
    <w:p>
      <w:pPr>
        <w:spacing w:before="120" w:after="80"/>
      </w:pPr>
      <w:r>
        <w:rPr>
          <w:b/>
          <w:color w:val="1E3A5F"/>
          <w:sz w:val="22"/>
        </w:rPr>
        <w:t>Weekly review (15 min)</w:t>
      </w:r>
    </w:p>
    <w:p>
      <w:pPr>
        <w:pStyle w:val="ListNumber"/>
        <w:spacing w:after="40"/>
      </w:pPr>
      <w:r>
        <w:t>Submissions tab — chase pending HoDs</w:t>
      </w:r>
    </w:p>
    <w:p>
      <w:pPr>
        <w:pStyle w:val="ListNumber"/>
        <w:spacing w:after="40"/>
      </w:pPr>
      <w:r>
        <w:t>Who is RED — drill into worst KRAs</w:t>
      </w:r>
    </w:p>
    <w:p>
      <w:pPr>
        <w:pStyle w:val="ListNumber"/>
        <w:spacing w:after="40"/>
      </w:pPr>
      <w:r>
        <w:t>Action Tracker — ensure every RED has a target and owner</w:t>
      </w:r>
    </w:p>
    <w:p>
      <w:pPr>
        <w:spacing w:before="120" w:after="80"/>
      </w:pPr>
      <w:r>
        <w:rPr>
          <w:b/>
          <w:color w:val="1E3A5F"/>
          <w:sz w:val="22"/>
        </w:rPr>
        <w:t>Monthly review meeting (30 min)</w:t>
      </w:r>
    </w:p>
    <w:p>
      <w:pPr>
        <w:pStyle w:val="ListNumber"/>
        <w:spacing w:after="40"/>
      </w:pPr>
      <w:r>
        <w:t xml:space="preserve">Export </w:t>
      </w:r>
      <w:r>
        <w:rPr>
          <w:b/>
        </w:rPr>
        <w:t>PDF Report</w:t>
      </w:r>
      <w:r>
        <w:t xml:space="preserve"> + </w:t>
      </w:r>
      <w:r>
        <w:rPr>
          <w:b/>
        </w:rPr>
        <w:t>Excel</w:t>
      </w:r>
    </w:p>
    <w:p>
      <w:pPr>
        <w:pStyle w:val="ListNumber"/>
        <w:spacing w:after="40"/>
      </w:pPr>
      <w:r>
        <w:t>History — 6-month trends</w:t>
      </w:r>
    </w:p>
    <w:p>
      <w:pPr>
        <w:pStyle w:val="ListNumber"/>
        <w:spacing w:after="40"/>
      </w:pPr>
      <w:r>
        <w:t>Target Follow-up — mark COMPLETED / MISSED</w:t>
      </w:r>
    </w:p>
    <w:p>
      <w:pPr>
        <w:pStyle w:val="ListNumber"/>
        <w:spacing w:after="40"/>
      </w:pPr>
      <w:r>
        <w:t>Set new targets for this month’s RED indicators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13. RAG rules (same everywhere)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Score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GREEN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≥ 90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On track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YELLOW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70 – 89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Watch</w:t>
            </w:r>
          </w:p>
        </w:tc>
      </w:tr>
      <w:tr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RED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&amp;lt; 70</w:t>
            </w:r>
          </w:p>
        </w:tc>
        <w:tc>
          <w:tcPr>
            <w:tcW w:type="dxa" w:w="3264"/>
          </w:tcPr>
          <w:p>
            <w:pPr>
              <w:spacing w:after="0"/>
            </w:pPr>
            <w:r>
              <w:rPr>
                <w:sz w:val="18"/>
              </w:rPr>
              <w:t>Mandatory action plan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14. Talking points for tomorrow’s demo</w:t>
      </w:r>
    </w:p>
    <w:p>
      <w:pPr>
        <w:pStyle w:val="ListNumber"/>
        <w:spacing w:after="40"/>
      </w:pPr>
      <w:r>
        <w:t>“One screen tells me who is RED, who hasn’t submitted, and what targets are overdue.”</w:t>
      </w:r>
    </w:p>
    <w:p>
      <w:pPr>
        <w:pStyle w:val="ListNumber"/>
        <w:spacing w:after="40"/>
      </w:pPr>
      <w:r>
        <w:t>“I don’t chase 14 departments blindly — submission tracker shows filed / pending / late.”</w:t>
      </w:r>
    </w:p>
    <w:p>
      <w:pPr>
        <w:pStyle w:val="ListNumber"/>
        <w:spacing w:after="40"/>
      </w:pPr>
      <w:r>
        <w:t>“When I set a target last month, follow-up checks this month automatically.”</w:t>
      </w:r>
    </w:p>
    <w:p>
      <w:pPr>
        <w:pStyle w:val="ListNumber"/>
        <w:spacing w:after="40"/>
      </w:pPr>
      <w:r>
        <w:t>“One click on any KRA shows all KPIs — not just the worst one.”</w:t>
      </w:r>
    </w:p>
    <w:p>
      <w:pPr>
        <w:pStyle w:val="ListNumber"/>
        <w:spacing w:after="40"/>
      </w:pPr>
      <w:r>
        <w:t>“I can export the monthly pack for the conference in Excel or PDF.”</w:t>
      </w:r>
    </w:p>
    <w:p>
      <w:pPr>
        <w:pStyle w:val="ListNumber"/>
        <w:spacing w:after="40"/>
      </w:pPr>
      <w:r>
        <w:t>“History shows 6 months for all departments in one chart for policy review.”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15. Before the meeting — checklist</w:t>
      </w:r>
    </w:p>
    <w:p>
      <w:pPr>
        <w:pStyle w:val="ListBullet"/>
      </w:pPr>
      <w:r>
        <w:t>☐ SQL Server running</w:t>
      </w:r>
    </w:p>
    <w:p>
      <w:pPr>
        <w:pStyle w:val="ListBullet"/>
      </w:pPr>
      <w:r>
        <w:t xml:space="preserve">☐ Backend: </w:t>
      </w:r>
      <w:r>
        <w:rPr>
          <w:rFonts w:ascii="Consolas" w:hAnsi="Consolas"/>
          <w:color w:val="333333"/>
          <w:sz w:val="18"/>
        </w:rPr>
        <w:t>cd backend &amp;&amp; node server.js</w:t>
      </w:r>
    </w:p>
    <w:p>
      <w:pPr>
        <w:pStyle w:val="ListBullet"/>
      </w:pPr>
      <w:r>
        <w:t xml:space="preserve">☐ Frontend: </w:t>
      </w:r>
      <w:r>
        <w:rPr>
          <w:rFonts w:ascii="Consolas" w:hAnsi="Consolas"/>
          <w:color w:val="333333"/>
          <w:sz w:val="18"/>
        </w:rPr>
        <w:t>cd frontend &amp;&amp; npm start</w:t>
      </w:r>
    </w:p>
    <w:p>
      <w:pPr>
        <w:pStyle w:val="ListBullet"/>
      </w:pPr>
      <w:r>
        <w:t xml:space="preserve">☐ Open </w:t>
      </w:r>
      <w:r>
        <w:rPr>
          <w:rFonts w:ascii="Consolas" w:hAnsi="Consolas"/>
          <w:color w:val="333333"/>
          <w:sz w:val="18"/>
        </w:rPr>
        <w:t>http://localhost:3000/admindashboard</w:t>
      </w:r>
    </w:p>
    <w:p>
      <w:pPr>
        <w:pStyle w:val="ListBullet"/>
      </w:pPr>
      <w:r>
        <w:t xml:space="preserve">☐ Login as </w:t>
      </w:r>
      <w:r>
        <w:rPr>
          <w:rFonts w:ascii="Consolas" w:hAnsi="Consolas"/>
          <w:color w:val="333333"/>
          <w:sz w:val="18"/>
        </w:rPr>
        <w:t>admin</w:t>
      </w:r>
    </w:p>
    <w:p>
      <w:pPr>
        <w:pStyle w:val="ListBullet"/>
      </w:pPr>
      <w:r>
        <w:t xml:space="preserve">☐ Optional: run </w:t>
      </w:r>
      <w:r>
        <w:rPr>
          <w:rFonts w:ascii="Consolas" w:hAnsi="Consolas"/>
          <w:color w:val="333333"/>
          <w:sz w:val="18"/>
        </w:rPr>
        <w:t>npm run seed:demo</w:t>
      </w:r>
      <w:r>
        <w:t xml:space="preserve"> for sample RED/submission data</w:t>
      </w:r>
    </w:p>
    <w:p>
      <w:pPr>
        <w:jc w:val="center"/>
      </w:pPr>
      <w:r>
        <w:rPr>
          <w:i/>
          <w:color w:val="5C6B7A"/>
          <w:sz w:val="16"/>
        </w:rPr>
        <w:t>Source: 01_DC_User_Guide.md  |  Tirap District Administration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