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2"/>
        </w:rPr>
        <w:t>Tirap Performance Index (TPI)</w:t>
      </w:r>
    </w:p>
    <w:p>
      <w:pPr>
        <w:jc w:val="center"/>
      </w:pPr>
      <w:r>
        <w:rPr>
          <w:color w:val="5C6B7A"/>
          <w:sz w:val="18"/>
        </w:rPr>
        <w:t>06 Code and Scoring Guide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32"/>
        </w:rPr>
        <w:t>TPI — Code, Scoring, KPIs, Targets &amp; Reminders</w:t>
      </w:r>
    </w:p>
    <w:p>
      <w:pPr>
        <w:spacing w:after="80"/>
      </w:pPr>
      <w:r>
        <w:t>Complete developer and DC reference for how the Tirap Performance Index works.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1. Architecture (file map)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frontend/src/</w:t>
        <w:br/>
        <w:t xml:space="preserve">  pages/AdminDashboard.js      — DC shell, tabs, month picker, save targets</w:t>
        <w:br/>
        <w:t xml:space="preserve">  pages/DeptDashboard.js       — HoD data entry + submit</w:t>
        <w:br/>
        <w:t xml:space="preserve">  components/DcCommandCenter.js — Home tab (alerts, heatmap, RED list)</w:t>
        <w:br/>
        <w:t xml:space="preserve">  components/actionTracker/    — Target forms (split components)</w:t>
        <w:br/>
        <w:t xml:space="preserve">  components/commandCenter/    — Command Center panels (split)</w:t>
        <w:br/>
        <w:t xml:space="preserve">  constants/tpi.js             — RAG thresholds, UI labels</w:t>
        <w:br/>
        <w:t xml:space="preserve">  constants/deptContacts.js    — HoD phones for reminders</w:t>
        <w:br/>
        <w:t xml:space="preserve">  utils/api.js                 — All HTTP calls to backend</w:t>
        <w:br/>
        <w:br/>
        <w:t>backend/</w:t>
        <w:br/>
        <w:t xml:space="preserve">  server.js                    — Express entry, mounts routes</w:t>
        <w:br/>
        <w:t xml:space="preserve">  routes/dashboard.js          — GET summary, PATCH action-items, contacts, remind</w:t>
        <w:br/>
        <w:t xml:space="preserve">  routes/dept.js               — HoD KPI load + POST submit</w:t>
        <w:br/>
        <w:t xml:space="preserve">  services/scoringService.js   — calcKpiScore, getRagStatus</w:t>
        <w:br/>
        <w:t xml:space="preserve">  services/quarterlyTargetService.js — quarterly count scoring</w:t>
        <w:br/>
        <w:t xml:space="preserve">  services/dashboardAggregator.js — Builds full dashboard JSON</w:t>
        <w:br/>
        <w:t xml:space="preserve">  services/dcHomeService.js    — Submission tracker, alerts, top RED</w:t>
        <w:br/>
        <w:t xml:space="preserve">  utils/reportingCycle.js      — Month rules, deadlines, due dates</w:t>
        <w:br/>
        <w:t xml:space="preserve">  utils/actionItems.js         — ActionItems CRUD + prior review</w:t>
        <w:br/>
        <w:t xml:space="preserve">  utils/deptSubmissions.js     — Submission timestamps + is_late</w:t>
        <w:br/>
        <w:t xml:space="preserve">  constants/kra.js             — 14 KRA labels, owners, RAG thresholds</w:t>
        <w:br/>
        <w:t xml:space="preserve">  constants/kpiMeta.js         — Unit + polarity inference per KPI name</w:t>
        <w:br/>
        <w:t xml:space="preserve">  scripts/seed-100-kpis.js     — Master KPI list (100 seeded)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2. How KPI score is calculated</w:t>
      </w:r>
    </w:p>
    <w:p>
      <w:pPr>
        <w:spacing w:before="120" w:after="80"/>
      </w:pPr>
      <w:r>
        <w:rPr>
          <w:b/>
          <w:color w:val="1E3A5F"/>
          <w:sz w:val="22"/>
        </w:rPr>
        <w:t>Step 1 — HoD enters ACTUAL (raw value)</w:t>
      </w:r>
    </w:p>
    <w:p>
      <w:pPr>
        <w:spacing w:after="80"/>
      </w:pPr>
      <w:r>
        <w:t xml:space="preserve">Department user enters numbers in </w:t>
      </w:r>
      <w:r>
        <w:rPr>
          <w:b/>
        </w:rPr>
        <w:t>Dept Dashboard</w:t>
      </w:r>
      <w:r>
        <w:t xml:space="preserve"> → saved to </w:t>
      </w:r>
      <w:r>
        <w:rPr>
          <w:rFonts w:ascii="Consolas" w:hAnsi="Consolas"/>
          <w:color w:val="333333"/>
          <w:sz w:val="18"/>
        </w:rPr>
        <w:t>PerformanceData.actual_value</w:t>
      </w:r>
      <w:r>
        <w:t>.</w:t>
      </w:r>
    </w:p>
    <w:p>
      <w:pPr>
        <w:spacing w:after="80"/>
      </w:pPr>
      <w:r>
        <w:t xml:space="preserve">This is </w:t>
      </w:r>
      <w:r>
        <w:rPr>
          <w:b/>
        </w:rPr>
        <w:t>not</w:t>
      </w:r>
      <w:r>
        <w:t xml:space="preserve"> the score. Examples:</w:t>
      </w:r>
    </w:p>
    <w:p>
      <w:pPr>
        <w:pStyle w:val="ListBullet"/>
        <w:spacing w:after="40"/>
      </w:pPr>
      <w:r>
        <w:rPr>
          <w:rFonts w:ascii="Consolas" w:hAnsi="Consolas"/>
          <w:color w:val="333333"/>
          <w:sz w:val="18"/>
        </w:rPr>
        <w:t>48</w:t>
      </w:r>
      <w:r>
        <w:t xml:space="preserve"> = 48% PHC functionality</w:t>
      </w:r>
    </w:p>
    <w:p>
      <w:pPr>
        <w:pStyle w:val="ListBullet"/>
        <w:spacing w:after="40"/>
      </w:pPr>
      <w:r>
        <w:rPr>
          <w:rFonts w:ascii="Consolas" w:hAnsi="Consolas"/>
          <w:color w:val="333333"/>
          <w:sz w:val="18"/>
        </w:rPr>
        <w:t>2</w:t>
      </w:r>
      <w:r>
        <w:t xml:space="preserve"> = 2 schools with functional toilets this month</w:t>
      </w:r>
    </w:p>
    <w:p>
      <w:pPr>
        <w:pStyle w:val="ListBullet"/>
        <w:spacing w:after="40"/>
      </w:pPr>
      <w:r>
        <w:rPr>
          <w:rFonts w:ascii="Consolas" w:hAnsi="Consolas"/>
          <w:color w:val="333333"/>
          <w:sz w:val="18"/>
        </w:rPr>
        <w:t>5</w:t>
      </w:r>
      <w:r>
        <w:t xml:space="preserve"> = 5 grievance days held</w:t>
      </w:r>
    </w:p>
    <w:p>
      <w:pPr>
        <w:spacing w:before="120" w:after="80"/>
      </w:pPr>
      <w:r>
        <w:rPr>
          <w:b/>
          <w:color w:val="1E3A5F"/>
          <w:sz w:val="22"/>
        </w:rPr>
        <w:t>Step 2 — Normalize to performance score (0–100)</w:t>
      </w:r>
    </w:p>
    <w:p>
      <w:pPr>
        <w:spacing w:after="80"/>
      </w:pPr>
      <w:r>
        <w:rPr>
          <w:rFonts w:ascii="Consolas" w:hAnsi="Consolas"/>
          <w:color w:val="333333"/>
          <w:sz w:val="18"/>
        </w:rPr>
        <w:t>backend/services/scoringService.js</w:t>
      </w:r>
      <w:r>
        <w:t xml:space="preserve"> → </w:t>
      </w:r>
      <w:r>
        <w:rPr>
          <w:rFonts w:ascii="Consolas" w:hAnsi="Consolas"/>
          <w:color w:val="333333"/>
          <w:sz w:val="18"/>
        </w:rPr>
        <w:t>calcKpiScore(actual, min, max, polarity)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Polarity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Formula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Use when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`(actual - min) / (max - min) × 100`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More is better (coverage %, pass rate)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`(max - actual) / (max - min) × 100`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Less is better (deaths, backlog, outage hours)</w:t>
            </w:r>
          </w:p>
        </w:tc>
      </w:tr>
    </w:tbl>
    <w:p/>
    <w:p>
      <w:pPr>
        <w:spacing w:after="80"/>
      </w:pPr>
      <w:r>
        <w:t>Result is clamped to 0–100.</w:t>
      </w:r>
    </w:p>
    <w:p>
      <w:pPr>
        <w:spacing w:before="120" w:after="80"/>
      </w:pPr>
      <w:r>
        <w:rPr>
          <w:b/>
          <w:color w:val="1E3A5F"/>
          <w:sz w:val="22"/>
        </w:rPr>
        <w:t>Step 3 — RAG colour</w:t>
      </w:r>
    </w:p>
    <w:p>
      <w:pPr>
        <w:spacing w:after="80"/>
      </w:pPr>
      <w:r>
        <w:rPr>
          <w:rFonts w:ascii="Consolas" w:hAnsi="Consolas"/>
          <w:color w:val="333333"/>
          <w:sz w:val="18"/>
        </w:rPr>
        <w:t>getRagStatus(score)</w:t>
      </w:r>
      <w:r>
        <w:t xml:space="preserve"> using </w:t>
      </w:r>
      <w:r>
        <w:rPr>
          <w:rFonts w:ascii="Consolas" w:hAnsi="Consolas"/>
          <w:color w:val="333333"/>
          <w:sz w:val="18"/>
        </w:rPr>
        <w:t>constants/kra.js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GREEN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≥ 90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YELLOW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70 – 89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RED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&lt; 70</w:t>
            </w:r>
          </w:p>
        </w:tc>
      </w:tr>
    </w:tbl>
    <w:p/>
    <w:p>
      <w:pPr>
        <w:spacing w:after="80"/>
      </w:pPr>
      <w:r>
        <w:t xml:space="preserve">RED KPIs automatically appear in </w:t>
      </w:r>
      <w:r>
        <w:rPr>
          <w:b/>
        </w:rPr>
        <w:t>Action Tracker</w:t>
      </w:r>
      <w:r>
        <w:t>.</w:t>
      </w:r>
    </w:p>
    <w:p>
      <w:pPr>
        <w:spacing w:before="120" w:after="80"/>
      </w:pPr>
      <w:r>
        <w:rPr>
          <w:b/>
          <w:color w:val="1E3A5F"/>
          <w:sz w:val="22"/>
        </w:rPr>
        <w:t>Step 4 — KRA score (department tile)</w:t>
      </w:r>
    </w:p>
    <w:p>
      <w:pPr>
        <w:spacing w:after="80"/>
      </w:pPr>
      <w:r>
        <w:t>Weighted average of all KPI scores in that department for the month: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KRA score = Σ(kpiScore × weight) / Σ(weight)</w:t>
      </w:r>
    </w:p>
    <w:p>
      <w:pPr>
        <w:spacing w:after="80"/>
      </w:pPr>
      <w:r>
        <w:t>Default weight = 1 per KPI.</w:t>
      </w:r>
    </w:p>
    <w:p>
      <w:pPr>
        <w:spacing w:before="120" w:after="80"/>
      </w:pPr>
      <w:r>
        <w:rPr>
          <w:b/>
          <w:color w:val="1E3A5F"/>
          <w:sz w:val="22"/>
        </w:rPr>
        <w:t>Step 5 — District TPI (gauge)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TPI = Σ(all KPI scores × weight) / Σ(all weights)</w:t>
      </w:r>
    </w:p>
    <w:p>
      <w:pPr>
        <w:spacing w:after="80"/>
      </w:pPr>
      <w:r>
        <w:t>Across all ~100 KPIs district-wide.</w:t>
      </w:r>
    </w:p>
    <w:p>
      <w:pPr>
        <w:spacing w:before="120" w:after="80"/>
      </w:pPr>
      <w:r>
        <w:rPr>
          <w:b/>
          <w:color w:val="1E3A5F"/>
          <w:sz w:val="22"/>
        </w:rPr>
        <w:t>Quarterly target scoring (special case)</w:t>
      </w:r>
    </w:p>
    <w:p>
      <w:pPr>
        <w:spacing w:after="80"/>
      </w:pPr>
      <w:r>
        <w:t xml:space="preserve">When DC sets </w:t>
      </w:r>
      <w:r>
        <w:rPr>
          <w:b/>
        </w:rPr>
        <w:t>Target type = Quarterly count</w:t>
      </w:r>
      <w:r>
        <w:t xml:space="preserve"> on a RED indicator: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score = (sum of monthly actuals in quarter so far) / DC target count × 100</w:t>
      </w:r>
    </w:p>
    <w:p>
      <w:pPr>
        <w:spacing w:after="80"/>
      </w:pPr>
      <w:r>
        <w:t>Example: target 10 toilets/quarter, months Apr+May actuals = 2+3 = 5 → score = 50%</w:t>
      </w:r>
    </w:p>
    <w:p>
      <w:pPr>
        <w:spacing w:after="80"/>
      </w:pPr>
      <w:r>
        <w:t xml:space="preserve">Implemented in </w:t>
      </w:r>
      <w:r>
        <w:rPr>
          <w:rFonts w:ascii="Consolas" w:hAnsi="Consolas"/>
          <w:color w:val="333333"/>
          <w:sz w:val="18"/>
        </w:rPr>
        <w:t>quarterlyTargetService.js</w:t>
      </w:r>
      <w:r>
        <w:t>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3. All 100 KPIs (seeded)</w:t>
      </w:r>
    </w:p>
    <w:p>
      <w:pPr>
        <w:spacing w:after="80"/>
      </w:pPr>
      <w:r>
        <w:t xml:space="preserve">Source: </w:t>
      </w:r>
      <w:r>
        <w:rPr>
          <w:rFonts w:ascii="Consolas" w:hAnsi="Consolas"/>
          <w:color w:val="333333"/>
          <w:sz w:val="18"/>
        </w:rPr>
        <w:t>backend/scripts/seed-100-kpis.js</w:t>
      </w:r>
      <w:r>
        <w:t xml:space="preserve">. Count per department in </w:t>
      </w:r>
      <w:r>
        <w:rPr>
          <w:rFonts w:ascii="Consolas" w:hAnsi="Consolas"/>
          <w:color w:val="333333"/>
          <w:sz w:val="18"/>
        </w:rPr>
        <w:t>DEPT_CAPS</w:t>
      </w:r>
      <w:r>
        <w:t>.</w:t>
      </w:r>
    </w:p>
    <w:p>
      <w:pPr>
        <w:spacing w:before="120" w:after="80"/>
      </w:pPr>
      <w:r>
        <w:rPr>
          <w:b/>
          <w:color w:val="1E3A5F"/>
          <w:sz w:val="22"/>
        </w:rPr>
        <w:t>D01 — Health (10)</w:t>
      </w:r>
    </w:p>
    <w:p>
      <w:pPr>
        <w:pStyle w:val="ListNumber"/>
        <w:spacing w:after="40"/>
      </w:pPr>
      <w:r>
        <w:t>PHC Functionality Score</w:t>
      </w:r>
    </w:p>
    <w:p>
      <w:pPr>
        <w:pStyle w:val="ListNumber"/>
        <w:spacing w:after="40"/>
      </w:pPr>
      <w:r>
        <w:t>Institutional Delivery Rate</w:t>
      </w:r>
    </w:p>
    <w:p>
      <w:pPr>
        <w:pStyle w:val="ListNumber"/>
        <w:spacing w:after="40"/>
      </w:pPr>
      <w:r>
        <w:t>Full Immunisation Coverage</w:t>
      </w:r>
    </w:p>
    <w:p>
      <w:pPr>
        <w:pStyle w:val="ListNumber"/>
        <w:spacing w:after="40"/>
      </w:pPr>
      <w:r>
        <w:t>eSanjeevani Tele-OPD Consults per active SC</w:t>
      </w:r>
    </w:p>
    <w:p>
      <w:pPr>
        <w:pStyle w:val="ListNumber"/>
        <w:spacing w:after="40"/>
      </w:pPr>
      <w:r>
        <w:t>ANC 4 Visits Completed</w:t>
      </w:r>
    </w:p>
    <w:p>
      <w:pPr>
        <w:pStyle w:val="ListNumber"/>
        <w:spacing w:after="40"/>
      </w:pPr>
      <w:r>
        <w:t>Ayushman Card Coverage in Priority Villages</w:t>
      </w:r>
    </w:p>
    <w:p>
      <w:pPr>
        <w:pStyle w:val="ListNumber"/>
        <w:spacing w:after="40"/>
      </w:pPr>
      <w:r>
        <w:t>Drug Stock-out Days at PHCs</w:t>
      </w:r>
    </w:p>
    <w:p>
      <w:pPr>
        <w:pStyle w:val="ListNumber"/>
        <w:spacing w:after="40"/>
      </w:pPr>
      <w:r>
        <w:t>OST Active Patients</w:t>
      </w:r>
    </w:p>
    <w:p>
      <w:pPr>
        <w:pStyle w:val="ListNumber"/>
        <w:spacing w:after="40"/>
      </w:pPr>
      <w:r>
        <w:t>De-addiction Centre Treatment Retention (3-month)</w:t>
      </w:r>
    </w:p>
    <w:p>
      <w:pPr>
        <w:pStyle w:val="ListNumber"/>
        <w:spacing w:after="40"/>
      </w:pPr>
      <w:r>
        <w:t>TB Case Notification Rate</w:t>
      </w:r>
    </w:p>
    <w:p>
      <w:pPr>
        <w:spacing w:before="120" w:after="80"/>
      </w:pPr>
      <w:r>
        <w:rPr>
          <w:b/>
          <w:color w:val="1E3A5F"/>
          <w:sz w:val="22"/>
        </w:rPr>
        <w:t>D02 — Education (8)</w:t>
      </w:r>
    </w:p>
    <w:p>
      <w:pPr>
        <w:pStyle w:val="ListNumber"/>
        <w:spacing w:after="40"/>
      </w:pPr>
      <w:r>
        <w:t>Teacher Attendance Rate</w:t>
      </w:r>
    </w:p>
    <w:p>
      <w:pPr>
        <w:pStyle w:val="ListNumber"/>
        <w:spacing w:after="40"/>
      </w:pPr>
      <w:r>
        <w:t>Student Attendance Rate (Classes 1-8)</w:t>
      </w:r>
    </w:p>
    <w:p>
      <w:pPr>
        <w:pStyle w:val="ListNumber"/>
        <w:spacing w:after="40"/>
      </w:pPr>
      <w:r>
        <w:t>FLN Reading Proficiency Class 3</w:t>
      </w:r>
    </w:p>
    <w:p>
      <w:pPr>
        <w:pStyle w:val="ListNumber"/>
        <w:spacing w:after="40"/>
      </w:pPr>
      <w:r>
        <w:t>FLN Numeracy Proficiency Class 3</w:t>
      </w:r>
    </w:p>
    <w:p>
      <w:pPr>
        <w:pStyle w:val="ListNumber"/>
        <w:spacing w:after="40"/>
      </w:pPr>
      <w:r>
        <w:t>Schools with Functional Toilets</w:t>
      </w:r>
    </w:p>
    <w:p>
      <w:pPr>
        <w:pStyle w:val="ListNumber"/>
        <w:spacing w:after="40"/>
      </w:pPr>
      <w:r>
        <w:t>Schools with Drinking Water</w:t>
      </w:r>
    </w:p>
    <w:p>
      <w:pPr>
        <w:pStyle w:val="ListNumber"/>
        <w:spacing w:after="40"/>
      </w:pPr>
      <w:r>
        <w:t>Class 10 Board Pass Rate</w:t>
      </w:r>
    </w:p>
    <w:p>
      <w:pPr>
        <w:pStyle w:val="ListNumber"/>
        <w:spacing w:after="40"/>
      </w:pPr>
      <w:r>
        <w:t>Class 12 Board Pass Rate</w:t>
      </w:r>
    </w:p>
    <w:p>
      <w:pPr>
        <w:spacing w:before="120" w:after="80"/>
      </w:pPr>
      <w:r>
        <w:rPr>
          <w:b/>
          <w:color w:val="1E3A5F"/>
          <w:sz w:val="22"/>
        </w:rPr>
        <w:t>D03 — ICDS (5)</w:t>
      </w:r>
    </w:p>
    <w:p>
      <w:pPr>
        <w:pStyle w:val="ListNumber"/>
        <w:spacing w:after="40"/>
      </w:pPr>
      <w:r>
        <w:t>AWC Functionality Score</w:t>
      </w:r>
    </w:p>
    <w:p>
      <w:pPr>
        <w:pStyle w:val="ListNumber"/>
        <w:spacing w:after="40"/>
      </w:pPr>
      <w:r>
        <w:t>Children 0-6 Registered in ICDS MIS</w:t>
      </w:r>
    </w:p>
    <w:p>
      <w:pPr>
        <w:pStyle w:val="ListNumber"/>
        <w:spacing w:after="40"/>
      </w:pPr>
      <w:r>
        <w:t>AWCs Running Daily Pre-school Activity</w:t>
      </w:r>
    </w:p>
    <w:p>
      <w:pPr>
        <w:pStyle w:val="ListNumber"/>
        <w:spacing w:after="40"/>
      </w:pPr>
      <w:r>
        <w:t>Saksham AWC Upgrade Status</w:t>
      </w:r>
    </w:p>
    <w:p>
      <w:pPr>
        <w:pStyle w:val="ListNumber"/>
        <w:spacing w:after="40"/>
      </w:pPr>
      <w:r>
        <w:t>Take-Home Ration Distribution Coverage</w:t>
      </w:r>
    </w:p>
    <w:p>
      <w:pPr>
        <w:spacing w:before="120" w:after="80"/>
      </w:pPr>
      <w:r>
        <w:rPr>
          <w:b/>
          <w:color w:val="1E3A5F"/>
          <w:sz w:val="22"/>
        </w:rPr>
        <w:t>D04 — Social Justice (6)</w:t>
      </w:r>
    </w:p>
    <w:p>
      <w:pPr>
        <w:pStyle w:val="ListNumber"/>
        <w:spacing w:after="40"/>
      </w:pPr>
      <w:r>
        <w:t>New Patients Inducted into De-addiction Programme</w:t>
      </w:r>
    </w:p>
    <w:p>
      <w:pPr>
        <w:pStyle w:val="ListNumber"/>
        <w:spacing w:after="40"/>
      </w:pPr>
      <w:r>
        <w:t>Recovered Users Placed in Skilling/Employment</w:t>
      </w:r>
    </w:p>
    <w:p>
      <w:pPr>
        <w:pStyle w:val="ListNumber"/>
        <w:spacing w:after="40"/>
      </w:pPr>
      <w:r>
        <w:t>Peer Counsellors Active</w:t>
      </w:r>
    </w:p>
    <w:p>
      <w:pPr>
        <w:pStyle w:val="ListNumber"/>
        <w:spacing w:after="40"/>
      </w:pPr>
      <w:r>
        <w:t>School-Based Drug Awareness Sessions</w:t>
      </w:r>
    </w:p>
    <w:p>
      <w:pPr>
        <w:pStyle w:val="ListNumber"/>
        <w:spacing w:after="40"/>
      </w:pPr>
      <w:r>
        <w:t>Sports Tournaments at Circle Level</w:t>
      </w:r>
    </w:p>
    <w:p>
      <w:pPr>
        <w:pStyle w:val="ListNumber"/>
        <w:spacing w:after="40"/>
      </w:pPr>
      <w:r>
        <w:t>Football League Registered Teams</w:t>
      </w:r>
    </w:p>
    <w:p>
      <w:pPr>
        <w:spacing w:before="120" w:after="80"/>
      </w:pPr>
      <w:r>
        <w:rPr>
          <w:b/>
          <w:color w:val="1E3A5F"/>
          <w:sz w:val="22"/>
        </w:rPr>
        <w:t>D05 — Sanitation (5)</w:t>
      </w:r>
    </w:p>
    <w:p>
      <w:pPr>
        <w:pStyle w:val="ListNumber"/>
        <w:spacing w:after="40"/>
      </w:pPr>
      <w:r>
        <w:t>ODF-Plus Villages Declared &amp; Sustained</w:t>
      </w:r>
    </w:p>
    <w:p>
      <w:pPr>
        <w:pStyle w:val="ListNumber"/>
        <w:spacing w:after="40"/>
      </w:pPr>
      <w:r>
        <w:t>Khonsa Town Door-to-Door Waste Collection Coverage</w:t>
      </w:r>
    </w:p>
    <w:p>
      <w:pPr>
        <w:pStyle w:val="ListNumber"/>
        <w:spacing w:after="40"/>
      </w:pPr>
      <w:r>
        <w:t>Public Toilets Functional</w:t>
      </w:r>
    </w:p>
    <w:p>
      <w:pPr>
        <w:pStyle w:val="ListNumber"/>
        <w:spacing w:after="40"/>
      </w:pPr>
      <w:r>
        <w:t>Swachh Tirap Awards Participating Villages</w:t>
      </w:r>
    </w:p>
    <w:p>
      <w:pPr>
        <w:pStyle w:val="ListNumber"/>
        <w:spacing w:after="40"/>
      </w:pPr>
      <w:r>
        <w:t>Waste Segregation at Source</w:t>
      </w:r>
    </w:p>
    <w:p>
      <w:pPr>
        <w:spacing w:before="120" w:after="80"/>
      </w:pPr>
      <w:r>
        <w:rPr>
          <w:b/>
          <w:color w:val="1E3A5F"/>
          <w:sz w:val="22"/>
        </w:rPr>
        <w:t>D06 — Infrastructure (9)</w:t>
      </w:r>
    </w:p>
    <w:p>
      <w:pPr>
        <w:pStyle w:val="ListNumber"/>
        <w:spacing w:after="40"/>
      </w:pPr>
      <w:r>
        <w:t>PWD Road Condition (dry season)</w:t>
      </w:r>
    </w:p>
    <w:p>
      <w:pPr>
        <w:pStyle w:val="ListNumber"/>
        <w:spacing w:after="40"/>
      </w:pPr>
      <w:r>
        <w:t>PWD Road Condition (monsoon)</w:t>
      </w:r>
    </w:p>
    <w:p>
      <w:pPr>
        <w:pStyle w:val="ListNumber"/>
        <w:spacing w:after="40"/>
      </w:pPr>
      <w:r>
        <w:t>PMGSY Projects On-Schedule</w:t>
      </w:r>
    </w:p>
    <w:p>
      <w:pPr>
        <w:pStyle w:val="ListNumber"/>
        <w:spacing w:after="40"/>
      </w:pPr>
      <w:r>
        <w:t>JJM Tap Connections Functional</w:t>
      </w:r>
    </w:p>
    <w:p>
      <w:pPr>
        <w:pStyle w:val="ListNumber"/>
        <w:spacing w:after="40"/>
      </w:pPr>
      <w:r>
        <w:t>Villages with 24x7 Power</w:t>
      </w:r>
    </w:p>
    <w:p>
      <w:pPr>
        <w:pStyle w:val="ListNumber"/>
        <w:spacing w:after="40"/>
      </w:pPr>
      <w:r>
        <w:t>Mobile Network Coverage (4G)</w:t>
      </w:r>
    </w:p>
    <w:p>
      <w:pPr>
        <w:pStyle w:val="ListNumber"/>
        <w:spacing w:after="40"/>
      </w:pPr>
      <w:r>
        <w:t>Bridges/Culverts Damaged &amp; Awaiting Repair</w:t>
      </w:r>
    </w:p>
    <w:p>
      <w:pPr>
        <w:pStyle w:val="ListNumber"/>
        <w:spacing w:after="40"/>
      </w:pPr>
      <w:r>
        <w:t>Power Outage Hours</w:t>
      </w:r>
    </w:p>
    <w:p>
      <w:pPr>
        <w:pStyle w:val="ListNumber"/>
        <w:spacing w:after="40"/>
      </w:pPr>
      <w:r>
        <w:t>Villages Connected by All-Weather Road</w:t>
      </w:r>
    </w:p>
    <w:p>
      <w:pPr>
        <w:spacing w:before="120" w:after="80"/>
      </w:pPr>
      <w:r>
        <w:rPr>
          <w:b/>
          <w:color w:val="1E3A5F"/>
          <w:sz w:val="22"/>
        </w:rPr>
        <w:t>D07 — Power (7)</w:t>
      </w:r>
    </w:p>
    <w:p>
      <w:pPr>
        <w:pStyle w:val="ListNumber"/>
        <w:spacing w:after="40"/>
      </w:pPr>
      <w:r>
        <w:t>Average Daily Power Supply Hours</w:t>
      </w:r>
    </w:p>
    <w:p>
      <w:pPr>
        <w:pStyle w:val="ListNumber"/>
        <w:spacing w:after="40"/>
      </w:pPr>
      <w:r>
        <w:t>Total Unscheduled Outage Hours</w:t>
      </w:r>
    </w:p>
    <w:p>
      <w:pPr>
        <w:pStyle w:val="ListNumber"/>
        <w:spacing w:after="40"/>
      </w:pPr>
      <w:r>
        <w:t>Villages with Functional 11kV/LT Connectivity</w:t>
      </w:r>
    </w:p>
    <w:p>
      <w:pPr>
        <w:pStyle w:val="ListNumber"/>
        <w:spacing w:after="40"/>
      </w:pPr>
      <w:r>
        <w:t>Households with Metered Connection</w:t>
      </w:r>
    </w:p>
    <w:p>
      <w:pPr>
        <w:pStyle w:val="ListNumber"/>
        <w:spacing w:after="40"/>
      </w:pPr>
      <w:r>
        <w:t>New Service Connection - Mean Days Application to Energization</w:t>
      </w:r>
    </w:p>
    <w:p>
      <w:pPr>
        <w:pStyle w:val="ListNumber"/>
        <w:spacing w:after="40"/>
      </w:pPr>
      <w:r>
        <w:t>Billing Efficiency</w:t>
      </w:r>
    </w:p>
    <w:p>
      <w:pPr>
        <w:pStyle w:val="ListNumber"/>
        <w:spacing w:after="40"/>
      </w:pPr>
      <w:r>
        <w:t>Distribution Transformer Failure Rate</w:t>
      </w:r>
    </w:p>
    <w:p>
      <w:pPr>
        <w:spacing w:before="120" w:after="80"/>
      </w:pPr>
      <w:r>
        <w:rPr>
          <w:b/>
          <w:color w:val="1E3A5F"/>
          <w:sz w:val="22"/>
        </w:rPr>
        <w:t>D08 — Police (9)</w:t>
      </w:r>
    </w:p>
    <w:p>
      <w:pPr>
        <w:pStyle w:val="ListNumber"/>
        <w:spacing w:after="40"/>
      </w:pPr>
      <w:r>
        <w:t>FIR Registration Compliance</w:t>
      </w:r>
    </w:p>
    <w:p>
      <w:pPr>
        <w:pStyle w:val="ListNumber"/>
        <w:spacing w:after="40"/>
      </w:pPr>
      <w:r>
        <w:t>Case Disposal Rate</w:t>
      </w:r>
    </w:p>
    <w:p>
      <w:pPr>
        <w:pStyle w:val="ListNumber"/>
        <w:spacing w:after="40"/>
      </w:pPr>
      <w:r>
        <w:t>NDPS Seizure-to-Treatment Referral Ratio</w:t>
      </w:r>
    </w:p>
    <w:p>
      <w:pPr>
        <w:pStyle w:val="ListNumber"/>
        <w:spacing w:after="40"/>
      </w:pPr>
      <w:r>
        <w:t>Crimes Against Women (FIRs)</w:t>
      </w:r>
    </w:p>
    <w:p>
      <w:pPr>
        <w:pStyle w:val="ListNumber"/>
        <w:spacing w:after="40"/>
      </w:pPr>
      <w:r>
        <w:t>CAW Conviction Rate</w:t>
      </w:r>
    </w:p>
    <w:p>
      <w:pPr>
        <w:pStyle w:val="ListNumber"/>
        <w:spacing w:after="40"/>
      </w:pPr>
      <w:r>
        <w:t>Police Public Grievance Days Held</w:t>
      </w:r>
    </w:p>
    <w:p>
      <w:pPr>
        <w:pStyle w:val="ListNumber"/>
        <w:spacing w:after="40"/>
      </w:pPr>
      <w:r>
        <w:t>Excise/Opium Field Destruction</w:t>
      </w:r>
    </w:p>
    <w:p>
      <w:pPr>
        <w:pStyle w:val="ListNumber"/>
        <w:spacing w:after="40"/>
      </w:pPr>
      <w:r>
        <w:t>Communal/Tribal Tension Incidents</w:t>
      </w:r>
    </w:p>
    <w:p>
      <w:pPr>
        <w:pStyle w:val="ListNumber"/>
        <w:spacing w:after="40"/>
      </w:pPr>
      <w:r>
        <w:t>Night Patrolling Coverage</w:t>
      </w:r>
    </w:p>
    <w:p>
      <w:pPr>
        <w:spacing w:before="120" w:after="80"/>
      </w:pPr>
      <w:r>
        <w:rPr>
          <w:b/>
          <w:color w:val="1E3A5F"/>
          <w:sz w:val="22"/>
        </w:rPr>
        <w:t>D09 — Agriculture (6)</w:t>
      </w:r>
    </w:p>
    <w:p>
      <w:pPr>
        <w:pStyle w:val="ListNumber"/>
        <w:spacing w:after="40"/>
      </w:pPr>
      <w:r>
        <w:t>Farmer Field Demonstration Plots Active</w:t>
      </w:r>
    </w:p>
    <w:p>
      <w:pPr>
        <w:pStyle w:val="ListNumber"/>
        <w:spacing w:after="40"/>
      </w:pPr>
      <w:r>
        <w:t>FPOs Active with &gt;100 Members</w:t>
      </w:r>
    </w:p>
    <w:p>
      <w:pPr>
        <w:pStyle w:val="ListNumber"/>
        <w:spacing w:after="40"/>
      </w:pPr>
      <w:r>
        <w:t>KCC Coverage of Farmers</w:t>
      </w:r>
    </w:p>
    <w:p>
      <w:pPr>
        <w:pStyle w:val="ListNumber"/>
        <w:spacing w:after="40"/>
      </w:pPr>
      <w:r>
        <w:t>PM-Kisan Beneficiaries Receiving Installment</w:t>
      </w:r>
    </w:p>
    <w:p>
      <w:pPr>
        <w:pStyle w:val="ListNumber"/>
        <w:spacing w:after="40"/>
      </w:pPr>
      <w:r>
        <w:t>Soil Health Cards Distributed</w:t>
      </w:r>
    </w:p>
    <w:p>
      <w:pPr>
        <w:pStyle w:val="ListNumber"/>
        <w:spacing w:after="40"/>
      </w:pPr>
      <w:r>
        <w:t>Agarwood Saplings Distributed</w:t>
      </w:r>
    </w:p>
    <w:p>
      <w:pPr>
        <w:spacing w:before="120" w:after="80"/>
      </w:pPr>
      <w:r>
        <w:rPr>
          <w:b/>
          <w:color w:val="1E3A5F"/>
          <w:sz w:val="22"/>
        </w:rPr>
        <w:t>D10 — Convergence (7)</w:t>
      </w:r>
    </w:p>
    <w:p>
      <w:pPr>
        <w:pStyle w:val="ListNumber"/>
        <w:spacing w:after="40"/>
      </w:pPr>
      <w:r>
        <w:t>Saturation Villages Where Camp Held</w:t>
      </w:r>
    </w:p>
    <w:p>
      <w:pPr>
        <w:pStyle w:val="ListNumber"/>
        <w:spacing w:after="40"/>
      </w:pPr>
      <w:r>
        <w:t>Aadhaar Saturation in Priority Villages</w:t>
      </w:r>
    </w:p>
    <w:p>
      <w:pPr>
        <w:pStyle w:val="ListNumber"/>
        <w:spacing w:after="40"/>
      </w:pPr>
      <w:r>
        <w:t>Jan Dhan Account Coverage</w:t>
      </w:r>
    </w:p>
    <w:p>
      <w:pPr>
        <w:pStyle w:val="ListNumber"/>
        <w:spacing w:after="40"/>
      </w:pPr>
      <w:r>
        <w:t>Ration Card Backlog</w:t>
      </w:r>
    </w:p>
    <w:p>
      <w:pPr>
        <w:pStyle w:val="ListNumber"/>
        <w:spacing w:after="40"/>
      </w:pPr>
      <w:r>
        <w:t>PMAY-G Houses Sanctioned vs Completed</w:t>
      </w:r>
    </w:p>
    <w:p>
      <w:pPr>
        <w:pStyle w:val="ListNumber"/>
        <w:spacing w:after="40"/>
      </w:pPr>
      <w:r>
        <w:t>NSAP Pension Disbursement</w:t>
      </w:r>
    </w:p>
    <w:p>
      <w:pPr>
        <w:pStyle w:val="ListNumber"/>
        <w:spacing w:after="40"/>
      </w:pPr>
      <w:r>
        <w:t>DANGUA District Plan Activities On-Schedule</w:t>
      </w:r>
    </w:p>
    <w:p>
      <w:pPr>
        <w:spacing w:before="120" w:after="80"/>
      </w:pPr>
      <w:r>
        <w:rPr>
          <w:b/>
          <w:color w:val="1E3A5F"/>
          <w:sz w:val="22"/>
        </w:rPr>
        <w:t>D11 — Revenue (6)</w:t>
      </w:r>
    </w:p>
    <w:p>
      <w:pPr>
        <w:pStyle w:val="ListNumber"/>
        <w:spacing w:after="40"/>
      </w:pPr>
      <w:r>
        <w:t>Land Mutation Cases Disposed Within 30 Days</w:t>
      </w:r>
    </w:p>
    <w:p>
      <w:pPr>
        <w:pStyle w:val="ListNumber"/>
        <w:spacing w:after="40"/>
      </w:pPr>
      <w:r>
        <w:t>Land Records Digitisation Coverage</w:t>
      </w:r>
    </w:p>
    <w:p>
      <w:pPr>
        <w:pStyle w:val="ListNumber"/>
        <w:spacing w:after="40"/>
      </w:pPr>
      <w:r>
        <w:t>Pending Court Cases Involving District</w:t>
      </w:r>
    </w:p>
    <w:p>
      <w:pPr>
        <w:pStyle w:val="ListNumber"/>
        <w:spacing w:after="40"/>
      </w:pPr>
      <w:r>
        <w:t>Public Hearing Days Held</w:t>
      </w:r>
    </w:p>
    <w:p>
      <w:pPr>
        <w:pStyle w:val="ListNumber"/>
        <w:spacing w:after="40"/>
      </w:pPr>
      <w:r>
        <w:t>Revenue Court Cases Disposed</w:t>
      </w:r>
    </w:p>
    <w:p>
      <w:pPr>
        <w:pStyle w:val="ListNumber"/>
        <w:spacing w:after="40"/>
      </w:pPr>
      <w:r>
        <w:t>RTI Replies Disposed Within 30 Days</w:t>
      </w:r>
    </w:p>
    <w:p>
      <w:pPr>
        <w:spacing w:before="120" w:after="80"/>
      </w:pPr>
      <w:r>
        <w:rPr>
          <w:b/>
          <w:color w:val="1E3A5F"/>
          <w:sz w:val="22"/>
        </w:rPr>
        <w:t>D12 — Jan Suvidha (12)</w:t>
      </w:r>
    </w:p>
    <w:p>
      <w:pPr>
        <w:pStyle w:val="ListNumber"/>
        <w:spacing w:after="40"/>
      </w:pPr>
      <w:r>
        <w:t>ST Certificate Issued Within 15 Days</w:t>
      </w:r>
    </w:p>
    <w:p>
      <w:pPr>
        <w:pStyle w:val="ListNumber"/>
        <w:spacing w:after="40"/>
      </w:pPr>
      <w:r>
        <w:t>PRC Issued Within 15 Days</w:t>
      </w:r>
    </w:p>
    <w:p>
      <w:pPr>
        <w:pStyle w:val="ListNumber"/>
        <w:spacing w:after="40"/>
      </w:pPr>
      <w:r>
        <w:t>TRC Issued Within 15 Days</w:t>
      </w:r>
    </w:p>
    <w:p>
      <w:pPr>
        <w:pStyle w:val="ListNumber"/>
        <w:spacing w:after="40"/>
      </w:pPr>
      <w:r>
        <w:t>Government ID Card Issued Within 15 Days</w:t>
      </w:r>
    </w:p>
    <w:p>
      <w:pPr>
        <w:pStyle w:val="ListNumber"/>
        <w:spacing w:after="40"/>
      </w:pPr>
      <w:r>
        <w:t>ILP Issued Within 7 Days</w:t>
      </w:r>
    </w:p>
    <w:p>
      <w:pPr>
        <w:pStyle w:val="ListNumber"/>
        <w:spacing w:after="40"/>
      </w:pPr>
      <w:r>
        <w:t>Driving Licence - Forwarded to DTO Within 3 Days</w:t>
      </w:r>
    </w:p>
    <w:p>
      <w:pPr>
        <w:pStyle w:val="ListNumber"/>
        <w:spacing w:after="40"/>
      </w:pPr>
      <w:r>
        <w:t>Driving Licence - Applications Received</w:t>
      </w:r>
    </w:p>
    <w:p>
      <w:pPr>
        <w:pStyle w:val="ListNumber"/>
        <w:spacing w:after="40"/>
      </w:pPr>
      <w:r>
        <w:t>Driving Licence - Pending Forwarding (&gt;3 days)</w:t>
      </w:r>
    </w:p>
    <w:p>
      <w:pPr>
        <w:pStyle w:val="ListNumber"/>
        <w:spacing w:after="40"/>
      </w:pPr>
      <w:r>
        <w:t>Vehicle Registration - Forwarded Within 3 Days</w:t>
      </w:r>
    </w:p>
    <w:p>
      <w:pPr>
        <w:pStyle w:val="ListNumber"/>
        <w:spacing w:after="40"/>
      </w:pPr>
      <w:r>
        <w:t>Vehicle Registration - Applications Received</w:t>
      </w:r>
    </w:p>
    <w:p>
      <w:pPr>
        <w:pStyle w:val="ListNumber"/>
        <w:spacing w:after="40"/>
      </w:pPr>
      <w:r>
        <w:t>Vehicle Registration - Pending Forwarding (&gt;3 days)</w:t>
      </w:r>
    </w:p>
    <w:p>
      <w:pPr>
        <w:pStyle w:val="ListNumber"/>
        <w:spacing w:after="40"/>
      </w:pPr>
      <w:r>
        <w:t>Citizen Satisfaction with Jan Suvidha</w:t>
      </w:r>
    </w:p>
    <w:p>
      <w:pPr>
        <w:spacing w:before="120" w:after="80"/>
      </w:pPr>
      <w:r>
        <w:rPr>
          <w:b/>
          <w:color w:val="1E3A5F"/>
          <w:sz w:val="22"/>
        </w:rPr>
        <w:t>D13 — Disaster (5)</w:t>
      </w:r>
    </w:p>
    <w:p>
      <w:pPr>
        <w:pStyle w:val="ListNumber"/>
        <w:spacing w:after="40"/>
      </w:pPr>
      <w:r>
        <w:t>Disaster Preparedness Drills Conducted</w:t>
      </w:r>
    </w:p>
    <w:p>
      <w:pPr>
        <w:pStyle w:val="ListNumber"/>
        <w:spacing w:after="40"/>
      </w:pPr>
      <w:r>
        <w:t>Pre-Monsoon Stocking at PHCs/Schools</w:t>
      </w:r>
    </w:p>
    <w:p>
      <w:pPr>
        <w:pStyle w:val="ListNumber"/>
        <w:spacing w:after="40"/>
      </w:pPr>
      <w:r>
        <w:t>Villages with Documented DRR Plans</w:t>
      </w:r>
    </w:p>
    <w:p>
      <w:pPr>
        <w:pStyle w:val="ListNumber"/>
        <w:spacing w:after="40"/>
      </w:pPr>
      <w:r>
        <w:t>Relief Reached Within 7 Days</w:t>
      </w:r>
    </w:p>
    <w:p>
      <w:pPr>
        <w:pStyle w:val="ListNumber"/>
        <w:spacing w:after="40"/>
      </w:pPr>
      <w:r>
        <w:t>Early Warning System Coverage</w:t>
      </w:r>
    </w:p>
    <w:p>
      <w:pPr>
        <w:spacing w:before="120" w:after="80"/>
      </w:pPr>
      <w:r>
        <w:rPr>
          <w:b/>
          <w:color w:val="1E3A5F"/>
          <w:sz w:val="22"/>
        </w:rPr>
        <w:t>D14 — DC Office / Grievance (5)</w:t>
      </w:r>
    </w:p>
    <w:p>
      <w:pPr>
        <w:pStyle w:val="ListNumber"/>
        <w:spacing w:after="40"/>
      </w:pPr>
      <w:r>
        <w:t>DC Field Days Completed</w:t>
      </w:r>
    </w:p>
    <w:p>
      <w:pPr>
        <w:pStyle w:val="ListNumber"/>
        <w:spacing w:after="40"/>
      </w:pPr>
      <w:r>
        <w:t>SDO Field Days (avg per SDO)</w:t>
      </w:r>
    </w:p>
    <w:p>
      <w:pPr>
        <w:pStyle w:val="ListNumber"/>
        <w:spacing w:after="40"/>
      </w:pPr>
      <w:r>
        <w:t>Officer Tour Diaries Submitted On-Time</w:t>
      </w:r>
    </w:p>
    <w:p>
      <w:pPr>
        <w:pStyle w:val="ListNumber"/>
        <w:spacing w:after="40"/>
      </w:pPr>
      <w:r>
        <w:t>GB 360 Feedback Forms Received (quarterly)</w:t>
      </w:r>
    </w:p>
    <w:p>
      <w:pPr>
        <w:pStyle w:val="ListNumber"/>
        <w:spacing w:after="40"/>
      </w:pPr>
      <w:r>
        <w:t>Grievances Registered (PGRS-DARPAN + WhatsApp)</w:t>
      </w:r>
    </w:p>
    <w:p>
      <w:pPr>
        <w:spacing w:after="80"/>
      </w:pPr>
      <w:r>
        <w:t>Note: KPI_MASTER has additional indicators beyond DEPT_CAPS; only the counts above are seeded by default.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4. How to set a target (DC workflow)</w:t>
      </w:r>
    </w:p>
    <w:p>
      <w:pPr>
        <w:pStyle w:val="ListNumber"/>
        <w:spacing w:after="40"/>
      </w:pPr>
      <w:r>
        <w:t xml:space="preserve">Open </w:t>
      </w:r>
      <w:r>
        <w:rPr>
          <w:b/>
        </w:rPr>
        <w:t>Action Tracker</w:t>
      </w:r>
      <w:r>
        <w:t xml:space="preserve"> tab (or drill down from a RED department).</w:t>
      </w:r>
    </w:p>
    <w:p>
      <w:pPr>
        <w:pStyle w:val="ListNumber"/>
        <w:spacing w:after="40"/>
      </w:pPr>
      <w:r>
        <w:t>Expand a RED indicator row.</w:t>
      </w:r>
    </w:p>
    <w:p>
      <w:pPr>
        <w:pStyle w:val="ListNumber"/>
        <w:spacing w:after="40"/>
      </w:pPr>
      <w:r>
        <w:t>Fill in:</w:t>
      </w:r>
    </w:p>
    <w:p>
      <w:pPr>
        <w:pStyle w:val="ListBullet"/>
        <w:spacing w:after="40"/>
      </w:pPr>
      <w:r>
        <w:rPr>
          <w:b/>
        </w:rPr>
        <w:t>Action owner</w:t>
      </w:r>
      <w:r>
        <w:t xml:space="preserve"> — responsible officer</w:t>
      </w:r>
    </w:p>
    <w:p>
      <w:pPr>
        <w:pStyle w:val="ListBullet"/>
        <w:spacing w:after="40"/>
      </w:pPr>
      <w:r>
        <w:rPr>
          <w:b/>
        </w:rPr>
        <w:t>Target type</w:t>
      </w:r>
      <w:r>
        <w:t>:</w:t>
      </w:r>
    </w:p>
    <w:p>
      <w:pPr>
        <w:pStyle w:val="ListBullet"/>
        <w:spacing w:after="40"/>
      </w:pPr>
      <w:r>
        <w:t>Monthly score</w:t>
      </w:r>
      <w:r>
        <w:t xml:space="preserve"> — goal performance score (e.g. 70)</w:t>
      </w:r>
    </w:p>
    <w:p>
      <w:pPr>
        <w:pStyle w:val="ListBullet"/>
        <w:spacing w:after="40"/>
      </w:pPr>
      <w:r>
        <w:t>Quarterly count</w:t>
      </w:r>
      <w:r>
        <w:t xml:space="preserve"> — cumulative count target (e.g. 10 toilets)</w:t>
      </w:r>
    </w:p>
    <w:p>
      <w:pPr>
        <w:pStyle w:val="ListBullet"/>
        <w:spacing w:after="40"/>
      </w:pPr>
      <w:r>
        <w:rPr>
          <w:b/>
        </w:rPr>
        <w:t>Due date</w:t>
      </w:r>
      <w:r>
        <w:t xml:space="preserve"> — leave empty for auto 1st of next month</w:t>
      </w:r>
    </w:p>
    <w:p>
      <w:pPr>
        <w:pStyle w:val="ListBullet"/>
        <w:spacing w:after="40"/>
      </w:pPr>
      <w:r>
        <w:rPr>
          <w:b/>
        </w:rPr>
        <w:t>Action plan</w:t>
      </w:r>
      <w:r>
        <w:t xml:space="preserve"> — DC commitment text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Save target</w:t>
      </w:r>
      <w:r>
        <w:t>.</w:t>
      </w:r>
    </w:p>
    <w:p>
      <w:pPr>
        <w:spacing w:before="120" w:after="80"/>
      </w:pPr>
      <w:r>
        <w:rPr>
          <w:b/>
          <w:color w:val="1E3A5F"/>
          <w:sz w:val="22"/>
        </w:rPr>
        <w:t>Backend path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AdminDashboard.saveActionItem()</w:t>
        <w:br/>
        <w:t xml:space="preserve">  → api.js updateActionItem()</w:t>
        <w:br/>
        <w:t xml:space="preserve">  → PATCH /api/dashboard/action-items/:id</w:t>
        <w:br/>
        <w:t xml:space="preserve">  → actionItems.updateActionItem()</w:t>
        <w:br/>
        <w:t xml:space="preserve">  → ActionItems table</w:t>
      </w:r>
    </w:p>
    <w:p>
      <w:pPr>
        <w:spacing w:before="120" w:after="80"/>
      </w:pPr>
      <w:r>
        <w:rPr>
          <w:b/>
          <w:color w:val="1E3A5F"/>
          <w:sz w:val="22"/>
        </w:rPr>
        <w:t>Target types in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target_type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Fields set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Scoring impact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`SCORE`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`target_score`, `target_date`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Deviation = actual_score − target_score at review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`QUARTERLY`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`target_actual`, `target_quarter`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KPI score = cumulative actual ÷ target × 100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5. How reminders work</w:t>
      </w:r>
    </w:p>
    <w:p>
      <w:pPr>
        <w:spacing w:before="120" w:after="80"/>
      </w:pPr>
      <w:r>
        <w:rPr>
          <w:b/>
          <w:color w:val="1E3A5F"/>
          <w:sz w:val="22"/>
        </w:rPr>
        <w:t>Client-side (current UI)</w:t>
      </w:r>
    </w:p>
    <w:p>
      <w:pPr>
        <w:spacing w:after="80"/>
      </w:pPr>
      <w:r>
        <w:rPr>
          <w:rFonts w:ascii="Consolas" w:hAnsi="Consolas"/>
          <w:color w:val="333333"/>
          <w:sz w:val="18"/>
        </w:rPr>
        <w:t>OwnerContactMenu</w:t>
      </w:r>
      <w:r>
        <w:t xml:space="preserve"> component on:</w:t>
      </w:r>
    </w:p>
    <w:p>
      <w:pPr>
        <w:pStyle w:val="ListBullet"/>
        <w:spacing w:after="40"/>
      </w:pPr>
      <w:r>
        <w:t>Top RED indicators table</w:t>
      </w:r>
    </w:p>
    <w:p>
      <w:pPr>
        <w:pStyle w:val="ListBullet"/>
        <w:spacing w:after="40"/>
      </w:pPr>
      <w:r>
        <w:t>Action Tracker save footer</w:t>
      </w:r>
    </w:p>
    <w:p>
      <w:pPr>
        <w:pStyle w:val="ListBullet"/>
        <w:spacing w:after="40"/>
      </w:pPr>
      <w:r>
        <w:t>KPI drill-down modal</w:t>
      </w:r>
    </w:p>
    <w:p>
      <w:pPr>
        <w:pStyle w:val="ListBullet"/>
        <w:spacing w:after="40"/>
      </w:pPr>
      <w:r>
        <w:t>Target follow-up panel</w:t>
      </w:r>
    </w:p>
    <w:p>
      <w:pPr>
        <w:spacing w:after="80"/>
      </w:pPr>
      <w:r>
        <w:t xml:space="preserve">Uses </w:t>
      </w:r>
      <w:r>
        <w:rPr>
          <w:rFonts w:ascii="Consolas" w:hAnsi="Consolas"/>
          <w:color w:val="333333"/>
          <w:sz w:val="18"/>
        </w:rPr>
        <w:t>deptContacts.js</w:t>
      </w:r>
      <w:r>
        <w:t xml:space="preserve"> + </w:t>
      </w:r>
      <w:r>
        <w:rPr>
          <w:rFonts w:ascii="Consolas" w:hAnsi="Consolas"/>
          <w:color w:val="333333"/>
          <w:sz w:val="18"/>
        </w:rPr>
        <w:t>kra.js</w:t>
      </w:r>
      <w:r>
        <w:t xml:space="preserve"> for phone/email.</w:t>
      </w:r>
    </w:p>
    <w:p>
      <w:pPr>
        <w:spacing w:after="80"/>
      </w:pPr>
      <w:r>
        <w:t>Actions:</w:t>
      </w:r>
    </w:p>
    <w:p>
      <w:pPr>
        <w:pStyle w:val="ListBullet"/>
        <w:spacing w:after="40"/>
      </w:pPr>
      <w:r>
        <w:rPr>
          <w:b/>
        </w:rPr>
        <w:t>Call</w:t>
      </w:r>
      <w:r>
        <w:t xml:space="preserve"> — </w:t>
      </w:r>
      <w:r>
        <w:rPr>
          <w:rFonts w:ascii="Consolas" w:hAnsi="Consolas"/>
          <w:color w:val="333333"/>
          <w:sz w:val="18"/>
        </w:rPr>
        <w:t>tel:+91...</w:t>
      </w:r>
    </w:p>
    <w:p>
      <w:pPr>
        <w:pStyle w:val="ListBullet"/>
        <w:spacing w:after="40"/>
      </w:pPr>
      <w:r>
        <w:rPr>
          <w:b/>
        </w:rPr>
        <w:t>WhatsApp</w:t>
      </w:r>
      <w:r>
        <w:t xml:space="preserve"> — </w:t>
      </w:r>
      <w:r>
        <w:rPr>
          <w:rFonts w:ascii="Consolas" w:hAnsi="Consolas"/>
          <w:color w:val="333333"/>
          <w:sz w:val="18"/>
        </w:rPr>
        <w:t>wa.me</w:t>
      </w:r>
      <w:r>
        <w:t xml:space="preserve"> with pre-filled reminder text</w:t>
      </w:r>
    </w:p>
    <w:p>
      <w:pPr>
        <w:pStyle w:val="ListBullet"/>
        <w:spacing w:after="40"/>
      </w:pPr>
      <w:r>
        <w:rPr>
          <w:b/>
        </w:rPr>
        <w:t>Email</w:t>
      </w:r>
      <w:r>
        <w:t xml:space="preserve"> — </w:t>
      </w:r>
      <w:r>
        <w:rPr>
          <w:rFonts w:ascii="Consolas" w:hAnsi="Consolas"/>
          <w:color w:val="333333"/>
          <w:sz w:val="18"/>
        </w:rPr>
        <w:t>mailto:</w:t>
      </w:r>
      <w:r>
        <w:t xml:space="preserve"> with subject/body</w:t>
      </w:r>
    </w:p>
    <w:p>
      <w:pPr>
        <w:pStyle w:val="ListBullet"/>
        <w:spacing w:after="40"/>
      </w:pPr>
      <w:r>
        <w:rPr>
          <w:b/>
        </w:rPr>
        <w:t>Copy reminder</w:t>
      </w:r>
      <w:r>
        <w:t xml:space="preserve"> — clipboard</w:t>
      </w:r>
    </w:p>
    <w:p>
      <w:pPr>
        <w:spacing w:after="80"/>
      </w:pPr>
      <w:r>
        <w:t>Reminder message template (</w:t>
      </w:r>
      <w:r>
        <w:rPr>
          <w:rFonts w:ascii="Consolas" w:hAnsi="Consolas"/>
          <w:color w:val="333333"/>
          <w:sz w:val="18"/>
        </w:rPr>
        <w:t>buildReminderMessage</w:t>
      </w:r>
      <w:r>
        <w:t>):</w:t>
      </w:r>
    </w:p>
    <w:p>
      <w:pPr>
        <w:spacing w:after="80"/>
      </w:pPr>
      <w:r>
        <w:t>&gt; TPI reminder: "{indicator}" is RED and needs action. Please submit/update monthly data and action plan. — DC Office</w:t>
      </w:r>
    </w:p>
    <w:p>
      <w:pPr>
        <w:spacing w:before="120" w:after="80"/>
      </w:pPr>
      <w:r>
        <w:rPr>
          <w:b/>
          <w:color w:val="1E3A5F"/>
          <w:sz w:val="22"/>
        </w:rPr>
        <w:t>Server-side (optional log)</w:t>
      </w:r>
    </w:p>
    <w:p>
      <w:pPr>
        <w:spacing w:after="80"/>
      </w:pPr>
      <w:r>
        <w:rPr>
          <w:rFonts w:ascii="Consolas" w:hAnsi="Consolas"/>
          <w:color w:val="333333"/>
          <w:sz w:val="18"/>
        </w:rPr>
        <w:t>POST /api/dashboard/remind</w:t>
      </w:r>
      <w:r>
        <w:t xml:space="preserve"> — logs to </w:t>
      </w:r>
      <w:r>
        <w:rPr>
          <w:rFonts w:ascii="Consolas" w:hAnsi="Consolas"/>
          <w:color w:val="333333"/>
          <w:sz w:val="18"/>
        </w:rPr>
        <w:t>ReminderLog</w:t>
      </w:r>
      <w:r>
        <w:t xml:space="preserve"> table. Frontend can wire this later.</w:t>
      </w:r>
    </w:p>
    <w:p>
      <w:pPr>
        <w:spacing w:before="120" w:after="80"/>
      </w:pPr>
      <w:r>
        <w:rPr>
          <w:b/>
          <w:color w:val="1E3A5F"/>
          <w:sz w:val="22"/>
        </w:rPr>
        <w:t>Full contacts directory</w:t>
      </w:r>
    </w:p>
    <w:p>
      <w:pPr>
        <w:spacing w:after="80"/>
      </w:pPr>
      <w:r>
        <w:rPr>
          <w:b/>
        </w:rPr>
        <w:t>Contacts</w:t>
      </w:r>
      <w:r>
        <w:t xml:space="preserve"> sidebar tab → </w:t>
      </w:r>
      <w:r>
        <w:rPr>
          <w:rFonts w:ascii="Consolas" w:hAnsi="Consolas"/>
          <w:color w:val="333333"/>
          <w:sz w:val="18"/>
        </w:rPr>
        <w:t>AdminContactsPanel.js</w:t>
      </w:r>
      <w:r>
        <w:t xml:space="preserve"> + </w:t>
      </w:r>
      <w:r>
        <w:rPr>
          <w:rFonts w:ascii="Consolas" w:hAnsi="Consolas"/>
          <w:color w:val="333333"/>
          <w:sz w:val="18"/>
        </w:rPr>
        <w:t>GET /api/dashboard/contacts</w:t>
      </w:r>
      <w:r>
        <w:t>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6. Reporting cycle (months &amp; deadlines)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Can enter/view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HoD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Previous calendar month only (e.g. in June → May data)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DC default view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Same previous month for performance review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Submission window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1st of current month → deadline (default 11 PM on 1st)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Late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`submitted_at` after deadline</w:t>
            </w:r>
          </w:p>
        </w:tc>
      </w:tr>
    </w:tbl>
    <w:p/>
    <w:p>
      <w:pPr>
        <w:spacing w:after="80"/>
      </w:pPr>
      <w:r>
        <w:t xml:space="preserve">Files: </w:t>
      </w:r>
      <w:r>
        <w:rPr>
          <w:rFonts w:ascii="Consolas" w:hAnsi="Consolas"/>
          <w:color w:val="333333"/>
          <w:sz w:val="18"/>
        </w:rPr>
        <w:t>utils/reportingCycle.js</w:t>
      </w:r>
      <w:r>
        <w:t xml:space="preserve">, </w:t>
      </w:r>
      <w:r>
        <w:rPr>
          <w:rFonts w:ascii="Consolas" w:hAnsi="Consolas"/>
          <w:color w:val="333333"/>
          <w:sz w:val="18"/>
        </w:rPr>
        <w:t>DistrictConfig</w:t>
      </w:r>
      <w:r>
        <w:t xml:space="preserve"> table.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7. API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`/api/dashboard/summary?month=&amp;year=`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Full dashboard + dcHome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PATCH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`/api/dashboard/action-items/:id`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Save DC target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`/api/dashboard/contacts`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HoD directory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`/api/dashboard/remind`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Log reminder (optional)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`/api/dept/submit`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HoD monthly submit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8. Component split (maintainability)</w:t>
      </w:r>
    </w:p>
    <w:p>
      <w:pPr>
        <w:spacing w:after="80"/>
      </w:pPr>
      <w:r>
        <w:t>Recent refactor — import from these instead of monolithic files: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components/actionTracker/</w:t>
        <w:br/>
        <w:t xml:space="preserve">  ActionAccordion.js</w:t>
        <w:br/>
        <w:t xml:space="preserve">  ActionTrackerCurrentItem.js</w:t>
        <w:br/>
        <w:t xml:space="preserve">  ActionTrackerPriorItem.js</w:t>
        <w:br/>
        <w:t xml:space="preserve">  DeptActionReadOnlyItem.js</w:t>
        <w:br/>
        <w:br/>
        <w:t>components/commandCenter/</w:t>
        <w:br/>
        <w:t xml:space="preserve">  AlertCard.js</w:t>
        <w:br/>
        <w:t xml:space="preserve">  PendingSubmissionsPanel.js</w:t>
        <w:br/>
        <w:t xml:space="preserve">  RedDepartmentsPanel.js</w:t>
        <w:br/>
        <w:t xml:space="preserve">  OverdueTargetsPanel.js</w:t>
        <w:br/>
        <w:t xml:space="preserve">  TopRedIndicatorsTable.js</w:t>
        <w:br/>
        <w:br/>
        <w:t>hooks/useAccordionState.js</w:t>
      </w:r>
    </w:p>
    <w:p>
      <w:pPr>
        <w:spacing w:after="80"/>
      </w:pPr>
      <w:r>
        <w:rPr>
          <w:rFonts w:ascii="Consolas" w:hAnsi="Consolas"/>
          <w:color w:val="333333"/>
          <w:sz w:val="18"/>
        </w:rPr>
        <w:t>ActionTrackerTables.js</w:t>
      </w:r>
      <w:r>
        <w:t xml:space="preserve"> re-exports for backward compatibility.</w:t>
      </w:r>
    </w:p>
    <w:p>
      <w:pPr>
        <w:jc w:val="center"/>
      </w:pPr>
      <w:r>
        <w:rPr>
          <w:i/>
          <w:color w:val="5C6B7A"/>
          <w:sz w:val="16"/>
        </w:rPr>
        <w:t>Source: 06_Code_and_Scoring_Guide.md  |  Tirap District Administration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