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7f88f3170fcfa783f1cfbeb558ad5918a19a60"/>
    <w:p>
      <w:pPr>
        <w:pStyle w:val="Heading1"/>
      </w:pPr>
      <w:r>
        <w:t xml:space="preserve">Authentication Architecture (Keycloak + OIDC)</w:t>
      </w:r>
    </w:p>
    <w:p>
      <w:pPr>
        <w:pStyle w:val="FirstParagraph"/>
      </w:pPr>
      <w:r>
        <w:t xml:space="preserve">Authentication is delegated to</w:t>
      </w:r>
      <w:r>
        <w:t xml:space="preserve"> </w:t>
      </w:r>
      <w:r>
        <w:rPr>
          <w:b/>
          <w:bCs/>
        </w:rPr>
        <w:t xml:space="preserve">Keycloak</w:t>
      </w:r>
      <w:r>
        <w:t xml:space="preserve">. The application never stores or verifies passwords.</w:t>
      </w:r>
    </w:p>
    <w:p>
      <w:r>
        <w:pict>
          <v:rect style="width:0;height:1.5pt" o:hralign="center" o:hrstd="t" o:hr="t"/>
        </w:pict>
      </w:r>
    </w:p>
    <w:bookmarkStart w:id="9" w:name="flow"/>
    <w:p>
      <w:pPr>
        <w:pStyle w:val="Heading2"/>
      </w:pPr>
      <w:r>
        <w:t xml:space="preserve">1. Flow</w:t>
      </w:r>
    </w:p>
    <w:p>
      <w:pPr>
        <w:pStyle w:val="SourceCode"/>
      </w:pPr>
      <w:r>
        <w:rPr>
          <w:rStyle w:val="VerbatimChar"/>
        </w:rPr>
        <w:t xml:space="preserve">User                  React SPA              NestJS API              Keycloak</w:t>
      </w:r>
      <w:r>
        <w:br/>
      </w:r>
      <w:r>
        <w:rPr>
          <w:rStyle w:val="VerbatimChar"/>
        </w:rPr>
        <w:t xml:space="preserve"> │                       │                      │                      │</w:t>
      </w:r>
      <w:r>
        <w:br/>
      </w:r>
      <w:r>
        <w:rPr>
          <w:rStyle w:val="VerbatimChar"/>
        </w:rPr>
        <w:t xml:space="preserve"> │  GET /login           │                      │                      │</w:t>
      </w:r>
      <w:r>
        <w:br/>
      </w:r>
      <w:r>
        <w:rPr>
          <w:rStyle w:val="VerbatimChar"/>
        </w:rPr>
        <w:t xml:space="preserve"> │──────────────────────▶│  redirect OIDC       │                      │</w:t>
      </w:r>
      <w:r>
        <w:br/>
      </w:r>
      <w:r>
        <w:rPr>
          <w:rStyle w:val="VerbatimChar"/>
        </w:rPr>
        <w:t xml:space="preserve"> │                       │─────────────────────────────────────────────▶│</w:t>
      </w:r>
      <w:r>
        <w:br/>
      </w:r>
      <w:r>
        <w:rPr>
          <w:rStyle w:val="VerbatimChar"/>
        </w:rPr>
        <w:t xml:space="preserve"> │                       │                      │     authenticate     │</w:t>
      </w:r>
      <w:r>
        <w:br/>
      </w:r>
      <w:r>
        <w:rPr>
          <w:rStyle w:val="VerbatimChar"/>
        </w:rPr>
        <w:t xml:space="preserve"> │                       │                      │     (+ MFA if on)    │</w:t>
      </w:r>
      <w:r>
        <w:br/>
      </w:r>
      <w:r>
        <w:rPr>
          <w:rStyle w:val="VerbatimChar"/>
        </w:rPr>
        <w:t xml:space="preserve"> │                       │◀──────── tokens (code + PKCE) ──────────────│</w:t>
      </w:r>
      <w:r>
        <w:br/>
      </w:r>
      <w:r>
        <w:rPr>
          <w:rStyle w:val="VerbatimChar"/>
        </w:rPr>
        <w:t xml:space="preserve"> │                       │                      │                      │</w:t>
      </w:r>
      <w:r>
        <w:br/>
      </w:r>
      <w:r>
        <w:rPr>
          <w:rStyle w:val="VerbatimChar"/>
        </w:rPr>
        <w:t xml:space="preserve"> │                       │  API call + Bearer   │                      │</w:t>
      </w:r>
      <w:r>
        <w:br/>
      </w:r>
      <w:r>
        <w:rPr>
          <w:rStyle w:val="VerbatimChar"/>
        </w:rPr>
        <w:t xml:space="preserve"> │                       │─────────────────────▶│  JWKS validate       │</w:t>
      </w:r>
      <w:r>
        <w:br/>
      </w:r>
      <w:r>
        <w:rPr>
          <w:rStyle w:val="VerbatimChar"/>
        </w:rPr>
        <w:t xml:space="preserve"> │                       │                      │  iss/aud/exp/sig     │</w:t>
      </w:r>
      <w:r>
        <w:br/>
      </w:r>
      <w:r>
        <w:rPr>
          <w:rStyle w:val="VerbatimChar"/>
        </w:rPr>
        <w:t xml:space="preserve"> │                       │                      │  map sub → users     │</w:t>
      </w:r>
      <w:r>
        <w:br/>
      </w:r>
      <w:r>
        <w:rPr>
          <w:rStyle w:val="VerbatimChar"/>
        </w:rPr>
        <w:t xml:space="preserve"> │                       │                      │  load roles/scope    │</w:t>
      </w:r>
      <w:r>
        <w:br/>
      </w:r>
      <w:r>
        <w:rPr>
          <w:rStyle w:val="VerbatimChar"/>
        </w:rPr>
        <w:t xml:space="preserve"> │                       │◀───── 200 / 403 ─────│                      │</w:t>
      </w:r>
    </w:p>
    <w:p>
      <w:pPr>
        <w:pStyle w:val="Compact"/>
        <w:numPr>
          <w:ilvl w:val="0"/>
          <w:numId w:val="1001"/>
        </w:numPr>
      </w:pPr>
      <w:r>
        <w:t xml:space="preserve">Keycloak authenticates (password, MFA, later LDAP).</w:t>
      </w:r>
    </w:p>
    <w:p>
      <w:pPr>
        <w:pStyle w:val="Compact"/>
        <w:numPr>
          <w:ilvl w:val="0"/>
          <w:numId w:val="1001"/>
        </w:numPr>
      </w:pPr>
      <w:r>
        <w:t xml:space="preserve">SPA receives ID + access tokens (Authorization Code + PKCE).</w:t>
      </w:r>
    </w:p>
    <w:p>
      <w:pPr>
        <w:pStyle w:val="Compact"/>
        <w:numPr>
          <w:ilvl w:val="0"/>
          <w:numId w:val="1001"/>
        </w:numPr>
      </w:pPr>
      <w:r>
        <w:t xml:space="preserve">API validates the access token against Keycloak JWKS.</w:t>
      </w:r>
    </w:p>
    <w:p>
      <w:pPr>
        <w:pStyle w:val="Compact"/>
        <w:numPr>
          <w:ilvl w:val="0"/>
          <w:numId w:val="1001"/>
        </w:numPr>
      </w:pPr>
      <w:r>
        <w:t xml:space="preserve">API maps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users.keycloak_sub</w:t>
      </w:r>
      <w:r>
        <w:t xml:space="preserve"> </w:t>
      </w:r>
      <w:r>
        <w:t xml:space="preserve">(JIT provision if allowed).</w:t>
      </w:r>
    </w:p>
    <w:p>
      <w:pPr>
        <w:pStyle w:val="Compact"/>
        <w:numPr>
          <w:ilvl w:val="0"/>
          <w:numId w:val="1001"/>
        </w:numPr>
      </w:pPr>
      <w:r>
        <w:t xml:space="preserve">Authorization uses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user_departments</w:t>
      </w:r>
      <w:r>
        <w:t xml:space="preserve">, not Keycloak groups alone.</w:t>
      </w:r>
    </w:p>
    <w:p>
      <w:pPr>
        <w:pStyle w:val="FirstParagraph"/>
      </w:pPr>
      <w:r>
        <w:t xml:space="preserve">Keycloak realm roles may</w:t>
      </w:r>
      <w:r>
        <w:t xml:space="preserve"> </w:t>
      </w:r>
      <w:r>
        <w:rPr>
          <w:b/>
          <w:bCs/>
        </w:rPr>
        <w:t xml:space="preserve">mirror</w:t>
      </w:r>
      <w:r>
        <w:t xml:space="preserve"> </w:t>
      </w:r>
      <w:r>
        <w:t xml:space="preserve">application roles for convenience. The API still loads permissions from PostgreSQL so district/department grants can change without a token refresh rewrite.</w:t>
      </w:r>
    </w:p>
    <w:p>
      <w:r>
        <w:pict>
          <v:rect style="width:0;height:1.5pt" o:hralign="center" o:hrstd="t" o:hr="t"/>
        </w:pict>
      </w:r>
    </w:p>
    <w:bookmarkEnd w:id="9"/>
    <w:bookmarkStart w:id="10" w:name="token-validation-api"/>
    <w:p>
      <w:pPr>
        <w:pStyle w:val="Heading2"/>
      </w:pPr>
      <w:r>
        <w:t xml:space="preserve">2. Token validation (API)</w:t>
      </w:r>
    </w:p>
    <w:p>
      <w:pPr>
        <w:pStyle w:val="FirstParagraph"/>
      </w:pPr>
      <w:r>
        <w:t xml:space="preserve">MUST validate:</w:t>
      </w:r>
    </w:p>
    <w:p>
      <w:pPr>
        <w:pStyle w:val="Compact"/>
        <w:numPr>
          <w:ilvl w:val="0"/>
          <w:numId w:val="1002"/>
        </w:numPr>
      </w:pPr>
      <w:r>
        <w:t xml:space="preserve">Signature (JWKS, cached)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iss</w:t>
      </w:r>
      <w:r>
        <w:t xml:space="preserve"> </w:t>
      </w:r>
      <w:r>
        <w:t xml:space="preserve">= configured realm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aud</w:t>
      </w:r>
      <w:r>
        <w:t xml:space="preserve"> </w:t>
      </w:r>
      <w:r>
        <w:t xml:space="preserve">or authorized party matches API client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</w:p>
    <w:p>
      <w:pPr>
        <w:pStyle w:val="Compact"/>
        <w:numPr>
          <w:ilvl w:val="0"/>
          <w:numId w:val="1002"/>
        </w:numPr>
      </w:pPr>
      <w:r>
        <w:t xml:space="preserve">HTTPS in production</w:t>
      </w:r>
    </w:p>
    <w:p>
      <w:pPr>
        <w:pStyle w:val="FirstParagraph"/>
      </w:pPr>
      <w:r>
        <w:t xml:space="preserve">Libraries:</w:t>
      </w:r>
      <w:r>
        <w:t xml:space="preserve"> </w:t>
      </w:r>
      <w:r>
        <w:rPr>
          <w:rStyle w:val="VerbatimChar"/>
        </w:rPr>
        <w:t xml:space="preserve">jwks-rsa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passport-jwt</w:t>
      </w:r>
      <w:r>
        <w:t xml:space="preserve"> </w:t>
      </w:r>
      <w:r>
        <w:t xml:space="preserve">/ NestJS Passport, or</w:t>
      </w:r>
      <w:r>
        <w:t xml:space="preserve"> </w:t>
      </w:r>
      <w:r>
        <w:rPr>
          <w:rStyle w:val="VerbatimChar"/>
        </w:rPr>
        <w:t xml:space="preserve">jose</w:t>
      </w:r>
      <w:r>
        <w:t xml:space="preserve">. Do not write a custom JWT parser.</w:t>
      </w:r>
    </w:p>
    <w:p>
      <w:pPr>
        <w:pStyle w:val="BodyText"/>
      </w:pPr>
      <w:r>
        <w:t xml:space="preserve">Rejected tokens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with the standard error envelope. No stack traces.</w:t>
      </w:r>
    </w:p>
    <w:p>
      <w:r>
        <w:pict>
          <v:rect style="width:0;height:1.5pt" o:hralign="center" o:hrstd="t" o:hr="t"/>
        </w:pict>
      </w:r>
    </w:p>
    <w:bookmarkEnd w:id="10"/>
    <w:bookmarkStart w:id="11" w:name="user-mapping"/>
    <w:p>
      <w:pPr>
        <w:pStyle w:val="Heading2"/>
      </w:pPr>
      <w:r>
        <w:t xml:space="preserve">3. User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users.keycloak_sub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users.email</w:t>
            </w:r>
            <w:r>
              <w:t xml:space="preserve"> </w:t>
            </w:r>
            <w:r>
              <w:t xml:space="preserve">(sync on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preferred_username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users.display_name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JIT provisioning (MUST HAVE):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is unknown and a SUPER_ADMIN has pre-created the email, link the row. If unknown and self-signup is disabled (default for government), return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“account not provisioned”.</w:t>
      </w:r>
    </w:p>
    <w:p>
      <w:pPr>
        <w:pStyle w:val="BodyText"/>
      </w:pPr>
      <w:r>
        <w:rPr>
          <w:b/>
          <w:bCs/>
        </w:rPr>
        <w:t xml:space="preserve">FUTURE:</w:t>
      </w:r>
      <w:r>
        <w:t xml:space="preserve"> </w:t>
      </w:r>
      <w:r>
        <w:t xml:space="preserve">LDAP/AD federation is configured</w:t>
      </w:r>
      <w:r>
        <w:t xml:space="preserve"> </w:t>
      </w:r>
      <w:r>
        <w:rPr>
          <w:b/>
          <w:bCs/>
        </w:rPr>
        <w:t xml:space="preserve">inside Keycloak</w:t>
      </w:r>
      <w:r>
        <w:t xml:space="preserve">. No application change if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remains stable.</w:t>
      </w:r>
    </w:p>
    <w:p>
      <w:r>
        <w:pict>
          <v:rect style="width:0;height:1.5pt" o:hralign="center" o:hrstd="t" o:hr="t"/>
        </w:pict>
      </w:r>
    </w:p>
    <w:bookmarkEnd w:id="11"/>
    <w:bookmarkStart w:id="12" w:name="session-and-logout"/>
    <w:p>
      <w:pPr>
        <w:pStyle w:val="Heading2"/>
      </w:pPr>
      <w:r>
        <w:t xml:space="preserve">4. Session and logout</w:t>
      </w:r>
    </w:p>
    <w:p>
      <w:pPr>
        <w:pStyle w:val="Compact"/>
        <w:numPr>
          <w:ilvl w:val="0"/>
          <w:numId w:val="1003"/>
        </w:numPr>
      </w:pPr>
      <w:r>
        <w:t xml:space="preserve">SPA stores tokens in memory + silent renew (or BFF cookie in a later hardening pass).</w:t>
      </w:r>
    </w:p>
    <w:p>
      <w:pPr>
        <w:pStyle w:val="Compact"/>
        <w:numPr>
          <w:ilvl w:val="0"/>
          <w:numId w:val="1003"/>
        </w:numPr>
      </w:pPr>
      <w:r>
        <w:t xml:space="preserve">Phase 2 default: access token in memory, refresh via Keycloak; avoid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if a BFF is available.</w:t>
      </w:r>
    </w:p>
    <w:p>
      <w:pPr>
        <w:pStyle w:val="Compact"/>
        <w:numPr>
          <w:ilvl w:val="0"/>
          <w:numId w:val="1003"/>
        </w:numPr>
      </w:pPr>
      <w:r>
        <w:t xml:space="preserve">Logout: SPA calls Keycloak end-session + API may revoke locally cached profile.</w:t>
      </w:r>
    </w:p>
    <w:p>
      <w:pPr>
        <w:pStyle w:val="Compact"/>
        <w:numPr>
          <w:ilvl w:val="0"/>
          <w:numId w:val="1003"/>
        </w:numPr>
      </w:pPr>
      <w:r>
        <w:t xml:space="preserve">Secure cookies only if the BFF pattern is adopted (Phase 10 option).</w:t>
      </w:r>
    </w:p>
    <w:p>
      <w:r>
        <w:pict>
          <v:rect style="width:0;height:1.5pt" o:hralign="center" o:hrstd="t" o:hr="t"/>
        </w:pict>
      </w:r>
    </w:p>
    <w:bookmarkEnd w:id="12"/>
    <w:bookmarkStart w:id="13" w:name="mfa-and-ldap"/>
    <w:p>
      <w:pPr>
        <w:pStyle w:val="Heading2"/>
      </w:pPr>
      <w:r>
        <w:t xml:space="preserve">5. MFA and LDAP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App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TOTP / MFA</w:t>
            </w:r>
          </w:p>
        </w:tc>
        <w:tc>
          <w:tcPr/>
          <w:p>
            <w:pPr>
              <w:pStyle w:val="Compact"/>
            </w:pPr>
            <w:r>
              <w:t xml:space="preserve">Keycloak browser flow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 / AD</w:t>
            </w:r>
          </w:p>
        </w:tc>
        <w:tc>
          <w:tcPr/>
          <w:p>
            <w:pPr>
              <w:pStyle w:val="Compact"/>
            </w:pPr>
            <w:r>
              <w:t xml:space="preserve">Keycloak user federation</w:t>
            </w:r>
          </w:p>
        </w:tc>
        <w:tc>
          <w:tcPr/>
          <w:p>
            <w:pPr>
              <w:pStyle w:val="Compact"/>
            </w:pPr>
            <w:r>
              <w:t xml:space="preserve">None, if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mapping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users.is_active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Keycloak enabled flag</w:t>
            </w:r>
          </w:p>
        </w:tc>
        <w:tc>
          <w:tcPr/>
          <w:p>
            <w:pPr>
              <w:pStyle w:val="Compact"/>
            </w:pPr>
            <w:r>
              <w:t xml:space="preserve">API checks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hase-split"/>
    <w:p>
      <w:pPr>
        <w:pStyle w:val="Heading2"/>
      </w:pPr>
      <w:r>
        <w:t xml:space="preserve">6. Phase split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 vars, Keycloak service in Compose, no login UI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OIDC login/logout, JWT guard, user mapping, test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Cookie/BFF review, token leakage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environment-no-secrets-in-git"/>
    <w:p>
      <w:pPr>
        <w:pStyle w:val="Heading2"/>
      </w:pPr>
      <w:r>
        <w:t xml:space="preserve">7. Environment (no secrets in Git)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KEYCLOAK_URL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KEYCLOAK_REALM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KEYCLOAK_API_AUDIENCE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KEYCLOAK_WEB_CLIENT_ID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KEYCLOAK_API_CLIENT_ID</w:t>
      </w:r>
      <w:r>
        <w:t xml:space="preserve"> </w:t>
      </w:r>
      <w:r>
        <w:t xml:space="preserve">/ secret only if confidential client</w:t>
      </w:r>
    </w:p>
    <w:p>
      <w:pPr>
        <w:pStyle w:val="FirstParagraph"/>
      </w:pPr>
      <w:r>
        <w:t xml:space="preserve">Passwords and client secrets stay in the environment or NIC secret store.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2026-09-06T07:10:01Z</dcterms:created>
  <dcterms:modified xsi:type="dcterms:W3CDTF">2026-09-06T07:10:01Z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