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spacing w:after="80"/>
      </w:pPr>
      <w:r>
        <w:t>2. Overall Architecture</w:t>
      </w:r>
    </w:p>
    <w:p>
      <w:pPr>
        <w:pStyle w:val="Subtitle"/>
        <w:spacing w:after="80"/>
      </w:pPr>
      <w:r>
        <w:t>Gateway, five bounded-context services, Keycloak, and PostgreSQL</w:t>
      </w:r>
    </w:p>
    <w:p>
      <w:pPr>
        <w:pStyle w:val="Normal"/>
        <w:spacing w:after="40"/>
      </w:pPr>
      <w:r>
        <w:t>District Development Works Monitoring Dashboard (DDWMD)</w:t>
      </w:r>
    </w:p>
    <w:p>
      <w:pPr>
        <w:pStyle w:val="Normal"/>
        <w:spacing w:after="240"/>
      </w:pPr>
      <w:r>
        <w:t>Document date: 15 September 2026  |  Application version: 0.1.0</w:t>
      </w:r>
    </w:p>
    <w:p>
      <w:pPr>
        <w:pStyle w:val="Heading1"/>
        <w:spacing w:after="200"/>
      </w:pPr>
      <w:r>
        <w:t>Design in one paragraph</w:t>
      </w:r>
    </w:p>
    <w:p>
      <w:pPr>
        <w:pStyle w:val="Normal"/>
        <w:spacing w:after="160"/>
      </w:pPr>
      <w:r>
        <w:t>The browser talks only to the React SPA and to Keycloak for login. API traffic goes to one public Gateway on port 3000. The gateway has no database and does not authorize. It reverse-proxies to Identity, Organization, Works, Governance, and Notify. Each of those five services has its own PostgreSQL database and its own Prisma schema. Keycloak is the only identity provider: one realm per district plus a system realm for SUPER_ADMIN. JWT iss is validated against issuers registered from Organization into Identity.</w:t>
      </w:r>
    </w:p>
    <w:p>
      <w:pPr>
        <w:pStyle w:val="Heading1"/>
        <w:spacing w:after="200"/>
      </w:pPr>
      <w:r>
        <w:t>Runtime diagram</w:t>
      </w:r>
    </w:p>
    <w:p>
      <w:pPr>
        <w:pStyle w:val="Normal"/>
        <w:spacing w:after="160"/>
      </w:pPr>
      <w:r>
        <w:t>Browser</w:t>
      </w:r>
    </w:p>
    <w:p>
      <w:pPr>
        <w:pStyle w:val="ListBullet"/>
        <w:spacing w:after="80"/>
        <w:numPr>
          <w:ilvl w:val="0"/>
          <w:numId w:val="1"/>
        </w:numPr>
      </w:pPr>
      <w:r>
        <w:t>React SPA — Vite dev server :5173 (or Nginx :8081 in Docker). Routes: /login, /dashboard, /projects, /actions, /meetings, /reports, /administration, /health.</w:t>
      </w:r>
    </w:p>
    <w:p>
      <w:pPr>
        <w:pStyle w:val="ListBullet"/>
        <w:spacing w:after="80"/>
        <w:numPr>
          <w:ilvl w:val="0"/>
          <w:numId w:val="1"/>
        </w:numPr>
      </w:pPr>
      <w:r>
        <w:t>OIDC Authorization Code + PKCE against the chosen district realm on Keycloak :8080.</w:t>
      </w:r>
    </w:p>
    <w:p>
      <w:pPr>
        <w:pStyle w:val="Normal"/>
        <w:spacing w:after="160"/>
      </w:pPr>
      <w:r>
        <w:t>Gateway :3000 — package @ddwmd/gateway — no database</w:t>
      </w:r>
    </w:p>
    <w:p>
      <w:pPr>
        <w:pStyle w:val="ListBullet"/>
        <w:spacing w:after="80"/>
        <w:numPr>
          <w:ilvl w:val="0"/>
          <w:numId w:val="1"/>
        </w:numPr>
      </w:pPr>
      <w:r>
        <w:t>Streams multipart uploads and CSV. Round-robin / failover if multiple upstream URLs are configured.</w:t>
      </w:r>
    </w:p>
    <w:p>
      <w:pPr>
        <w:pStyle w:val="ListBullet"/>
        <w:spacing w:after="80"/>
        <w:numPr>
          <w:ilvl w:val="0"/>
          <w:numId w:val="1"/>
        </w:numPr>
      </w:pPr>
      <w:r>
        <w:t>/health/ready returns 503 only when Identity or Organization is unreachable. Works, Governance, or Notify down yields 502 on those routes only.</w:t>
      </w:r>
    </w:p>
    <w:p>
      <w:pPr>
        <w:pStyle w:val="Normal"/>
        <w:spacing w:after="160"/>
      </w:pPr>
      <w:r>
        <w:t>Bounded-context services</w:t>
      </w:r>
    </w:p>
    <w:tbl>
      <w:tblPr>
        <w:tblW w:w="5000" w:type="pct"/>
        <w:tblLayout w:type="autofi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0" w:type="auto"/>
            <w:shd w:val="clear" w:color="auto" w:fill="1F4E79"/>
          </w:tcPr>
          <w:p>
            <w:pPr>
              <w:spacing w:after="40" w:before="40"/>
            </w:pPr>
            <w:r>
              <w:rPr>
                <w:b/>
                <w:color w:val="FFFFFF"/>
                <w:sz w:val="18"/>
                <w:szCs w:val="18"/>
              </w:rPr>
              <w:t>Process</w:t>
            </w:r>
          </w:p>
        </w:tc>
        <w:tc>
          <w:tcPr>
            <w:tcW w:w="0" w:type="auto"/>
            <w:shd w:val="clear" w:color="auto" w:fill="1F4E79"/>
          </w:tcPr>
          <w:p>
            <w:pPr>
              <w:spacing w:after="40" w:before="40"/>
            </w:pPr>
            <w:r>
              <w:rPr>
                <w:b/>
                <w:color w:val="FFFFFF"/>
                <w:sz w:val="18"/>
                <w:szCs w:val="18"/>
              </w:rPr>
              <w:t>Port</w:t>
            </w:r>
          </w:p>
        </w:tc>
        <w:tc>
          <w:tcPr>
            <w:tcW w:w="0" w:type="auto"/>
            <w:shd w:val="clear" w:color="auto" w:fill="1F4E79"/>
          </w:tcPr>
          <w:p>
            <w:pPr>
              <w:spacing w:after="40" w:before="40"/>
            </w:pPr>
            <w:r>
              <w:rPr>
                <w:b/>
                <w:color w:val="FFFFFF"/>
                <w:sz w:val="18"/>
                <w:szCs w:val="18"/>
              </w:rPr>
              <w:t>Package</w:t>
            </w:r>
          </w:p>
        </w:tc>
        <w:tc>
          <w:tcPr>
            <w:tcW w:w="0" w:type="auto"/>
            <w:shd w:val="clear" w:color="auto" w:fill="1F4E79"/>
          </w:tcPr>
          <w:p>
            <w:pPr>
              <w:spacing w:after="40" w:before="40"/>
            </w:pPr>
            <w:r>
              <w:rPr>
                <w:b/>
                <w:color w:val="FFFFFF"/>
                <w:sz w:val="18"/>
                <w:szCs w:val="18"/>
              </w:rPr>
              <w:t>Database</w:t>
            </w:r>
          </w:p>
        </w:tc>
        <w:tc>
          <w:tcPr>
            <w:tcW w:w="0" w:type="auto"/>
            <w:shd w:val="clear" w:color="auto" w:fill="1F4E79"/>
          </w:tcPr>
          <w:p>
            <w:pPr>
              <w:spacing w:after="40" w:before="40"/>
            </w:pPr>
            <w:r>
              <w:rPr>
                <w:b/>
                <w:color w:val="FFFFFF"/>
                <w:sz w:val="18"/>
                <w:szCs w:val="18"/>
              </w:rPr>
              <w:t>Owns</w:t>
            </w:r>
          </w:p>
        </w:tc>
      </w:tr>
      <w:tr>
        <w:tc>
          <w:tcPr>
            <w:tcW w:w="0" w:type="auto"/>
            <w:shd w:val="clear" w:color="auto" w:fill="F4F7FB"/>
          </w:tcPr>
          <w:p>
            <w:pPr>
              <w:spacing w:after="40" w:before="40"/>
            </w:pPr>
            <w:r>
              <w:rPr>
                <w:sz w:val="18"/>
                <w:szCs w:val="18"/>
              </w:rPr>
              <w:t>Identity</w:t>
            </w:r>
          </w:p>
        </w:tc>
        <w:tc>
          <w:tcPr>
            <w:tcW w:w="0" w:type="auto"/>
            <w:shd w:val="clear" w:color="auto" w:fill="F4F7FB"/>
          </w:tcPr>
          <w:p>
            <w:pPr>
              <w:spacing w:after="40" w:before="40"/>
            </w:pPr>
            <w:r>
              <w:rPr>
                <w:sz w:val="18"/>
                <w:szCs w:val="18"/>
              </w:rPr>
              <w:t>3001</w:t>
            </w:r>
          </w:p>
        </w:tc>
        <w:tc>
          <w:tcPr>
            <w:tcW w:w="0" w:type="auto"/>
            <w:shd w:val="clear" w:color="auto" w:fill="F4F7FB"/>
          </w:tcPr>
          <w:p>
            <w:pPr>
              <w:spacing w:after="40" w:before="40"/>
            </w:pPr>
            <w:r>
              <w:rPr>
                <w:sz w:val="18"/>
                <w:szCs w:val="18"/>
              </w:rPr>
              <w:t>@ddwmd/identity</w:t>
            </w:r>
          </w:p>
        </w:tc>
        <w:tc>
          <w:tcPr>
            <w:tcW w:w="0" w:type="auto"/>
            <w:shd w:val="clear" w:color="auto" w:fill="F4F7FB"/>
          </w:tcPr>
          <w:p>
            <w:pPr>
              <w:spacing w:after="40" w:before="40"/>
            </w:pPr>
            <w:r>
              <w:rPr>
                <w:sz w:val="18"/>
                <w:szCs w:val="18"/>
              </w:rPr>
              <w:t>district_identity</w:t>
            </w:r>
          </w:p>
        </w:tc>
        <w:tc>
          <w:tcPr>
            <w:tcW w:w="0" w:type="auto"/>
            <w:shd w:val="clear" w:color="auto" w:fill="F4F7FB"/>
          </w:tcPr>
          <w:p>
            <w:pPr>
              <w:spacing w:after="40" w:before="40"/>
            </w:pPr>
            <w:r>
              <w:rPr>
                <w:sz w:val="18"/>
                <w:szCs w:val="18"/>
              </w:rPr>
              <w:t>Users, roles, permissions, registered JWT issuers, /auth/me</w:t>
            </w:r>
          </w:p>
        </w:tc>
      </w:tr>
      <w:tr>
        <w:tc>
          <w:tcPr>
            <w:tcW w:w="0" w:type="auto"/>
            <w:shd w:val="clear" w:color="auto" w:fill="F4F7FB"/>
          </w:tcPr>
          <w:p>
            <w:pPr>
              <w:spacing w:after="40" w:before="40"/>
            </w:pPr>
            <w:r>
              <w:rPr>
                <w:sz w:val="18"/>
                <w:szCs w:val="18"/>
              </w:rPr>
              <w:t>Organization</w:t>
            </w:r>
          </w:p>
        </w:tc>
        <w:tc>
          <w:tcPr>
            <w:tcW w:w="0" w:type="auto"/>
            <w:shd w:val="clear" w:color="auto" w:fill="F4F7FB"/>
          </w:tcPr>
          <w:p>
            <w:pPr>
              <w:spacing w:after="40" w:before="40"/>
            </w:pPr>
            <w:r>
              <w:rPr>
                <w:sz w:val="18"/>
                <w:szCs w:val="18"/>
              </w:rPr>
              <w:t>3002</w:t>
            </w:r>
          </w:p>
        </w:tc>
        <w:tc>
          <w:tcPr>
            <w:tcW w:w="0" w:type="auto"/>
            <w:shd w:val="clear" w:color="auto" w:fill="F4F7FB"/>
          </w:tcPr>
          <w:p>
            <w:pPr>
              <w:spacing w:after="40" w:before="40"/>
            </w:pPr>
            <w:r>
              <w:rPr>
                <w:sz w:val="18"/>
                <w:szCs w:val="18"/>
              </w:rPr>
              <w:t>@ddwmd/organization</w:t>
            </w:r>
          </w:p>
        </w:tc>
        <w:tc>
          <w:tcPr>
            <w:tcW w:w="0" w:type="auto"/>
            <w:shd w:val="clear" w:color="auto" w:fill="F4F7FB"/>
          </w:tcPr>
          <w:p>
            <w:pPr>
              <w:spacing w:after="40" w:before="40"/>
            </w:pPr>
            <w:r>
              <w:rPr>
                <w:sz w:val="18"/>
                <w:szCs w:val="18"/>
              </w:rPr>
              <w:t>district_organization</w:t>
            </w:r>
          </w:p>
        </w:tc>
        <w:tc>
          <w:tcPr>
            <w:tcW w:w="0" w:type="auto"/>
            <w:shd w:val="clear" w:color="auto" w:fill="F4F7FB"/>
          </w:tcPr>
          <w:p>
            <w:pPr>
              <w:spacing w:after="40" w:before="40"/>
            </w:pPr>
            <w:r>
              <w:rPr>
                <w:sz w:val="18"/>
                <w:szCs w:val="18"/>
              </w:rPr>
              <w:t>Districts, departments, agencies, master data, settings</w:t>
            </w:r>
          </w:p>
        </w:tc>
      </w:tr>
      <w:tr>
        <w:tc>
          <w:tcPr>
            <w:tcW w:w="0" w:type="auto"/>
            <w:shd w:val="clear" w:color="auto" w:fill="F4F7FB"/>
          </w:tcPr>
          <w:p>
            <w:pPr>
              <w:spacing w:after="40" w:before="40"/>
            </w:pPr>
            <w:r>
              <w:rPr>
                <w:sz w:val="18"/>
                <w:szCs w:val="18"/>
              </w:rPr>
              <w:t>Works</w:t>
            </w:r>
          </w:p>
        </w:tc>
        <w:tc>
          <w:tcPr>
            <w:tcW w:w="0" w:type="auto"/>
            <w:shd w:val="clear" w:color="auto" w:fill="F4F7FB"/>
          </w:tcPr>
          <w:p>
            <w:pPr>
              <w:spacing w:after="40" w:before="40"/>
            </w:pPr>
            <w:r>
              <w:rPr>
                <w:sz w:val="18"/>
                <w:szCs w:val="18"/>
              </w:rPr>
              <w:t>3003</w:t>
            </w:r>
          </w:p>
        </w:tc>
        <w:tc>
          <w:tcPr>
            <w:tcW w:w="0" w:type="auto"/>
            <w:shd w:val="clear" w:color="auto" w:fill="F4F7FB"/>
          </w:tcPr>
          <w:p>
            <w:pPr>
              <w:spacing w:after="40" w:before="40"/>
            </w:pPr>
            <w:r>
              <w:rPr>
                <w:sz w:val="18"/>
                <w:szCs w:val="18"/>
              </w:rPr>
              <w:t>@ddwmd/works</w:t>
            </w:r>
          </w:p>
        </w:tc>
        <w:tc>
          <w:tcPr>
            <w:tcW w:w="0" w:type="auto"/>
            <w:shd w:val="clear" w:color="auto" w:fill="F4F7FB"/>
          </w:tcPr>
          <w:p>
            <w:pPr>
              <w:spacing w:after="40" w:before="40"/>
            </w:pPr>
            <w:r>
              <w:rPr>
                <w:sz w:val="18"/>
                <w:szCs w:val="18"/>
              </w:rPr>
              <w:t>district_works</w:t>
            </w:r>
          </w:p>
        </w:tc>
        <w:tc>
          <w:tcPr>
            <w:tcW w:w="0" w:type="auto"/>
            <w:shd w:val="clear" w:color="auto" w:fill="F4F7FB"/>
          </w:tcPr>
          <w:p>
            <w:pPr>
              <w:spacing w:after="40" w:before="40"/>
            </w:pPr>
            <w:r>
              <w:rPr>
                <w:sz w:val="18"/>
                <w:szCs w:val="18"/>
              </w:rPr>
              <w:t>Projects, append-only progress, documents metadata, dashboard KPIs, project CSV</w:t>
            </w:r>
          </w:p>
        </w:tc>
      </w:tr>
      <w:tr>
        <w:tc>
          <w:tcPr>
            <w:tcW w:w="0" w:type="auto"/>
            <w:shd w:val="clear" w:color="auto" w:fill="F4F7FB"/>
          </w:tcPr>
          <w:p>
            <w:pPr>
              <w:spacing w:after="40" w:before="40"/>
            </w:pPr>
            <w:r>
              <w:rPr>
                <w:sz w:val="18"/>
                <w:szCs w:val="18"/>
              </w:rPr>
              <w:t>Governance</w:t>
            </w:r>
          </w:p>
        </w:tc>
        <w:tc>
          <w:tcPr>
            <w:tcW w:w="0" w:type="auto"/>
            <w:shd w:val="clear" w:color="auto" w:fill="F4F7FB"/>
          </w:tcPr>
          <w:p>
            <w:pPr>
              <w:spacing w:after="40" w:before="40"/>
            </w:pPr>
            <w:r>
              <w:rPr>
                <w:sz w:val="18"/>
                <w:szCs w:val="18"/>
              </w:rPr>
              <w:t>3004</w:t>
            </w:r>
          </w:p>
        </w:tc>
        <w:tc>
          <w:tcPr>
            <w:tcW w:w="0" w:type="auto"/>
            <w:shd w:val="clear" w:color="auto" w:fill="F4F7FB"/>
          </w:tcPr>
          <w:p>
            <w:pPr>
              <w:spacing w:after="40" w:before="40"/>
            </w:pPr>
            <w:r>
              <w:rPr>
                <w:sz w:val="18"/>
                <w:szCs w:val="18"/>
              </w:rPr>
              <w:t>@ddwmd/governance</w:t>
            </w:r>
          </w:p>
        </w:tc>
        <w:tc>
          <w:tcPr>
            <w:tcW w:w="0" w:type="auto"/>
            <w:shd w:val="clear" w:color="auto" w:fill="F4F7FB"/>
          </w:tcPr>
          <w:p>
            <w:pPr>
              <w:spacing w:after="40" w:before="40"/>
            </w:pPr>
            <w:r>
              <w:rPr>
                <w:sz w:val="18"/>
                <w:szCs w:val="18"/>
              </w:rPr>
              <w:t>district_governance</w:t>
            </w:r>
          </w:p>
        </w:tc>
        <w:tc>
          <w:tcPr>
            <w:tcW w:w="0" w:type="auto"/>
            <w:shd w:val="clear" w:color="auto" w:fill="F4F7FB"/>
          </w:tcPr>
          <w:p>
            <w:pPr>
              <w:spacing w:after="40" w:before="40"/>
            </w:pPr>
            <w:r>
              <w:rPr>
                <w:sz w:val="18"/>
                <w:szCs w:val="18"/>
              </w:rPr>
              <w:t>Review meetings, action items, action CSV</w:t>
            </w:r>
          </w:p>
        </w:tc>
      </w:tr>
      <w:tr>
        <w:tc>
          <w:tcPr>
            <w:tcW w:w="0" w:type="auto"/>
            <w:shd w:val="clear" w:color="auto" w:fill="F4F7FB"/>
          </w:tcPr>
          <w:p>
            <w:pPr>
              <w:spacing w:after="40" w:before="40"/>
            </w:pPr>
            <w:r>
              <w:rPr>
                <w:sz w:val="18"/>
                <w:szCs w:val="18"/>
              </w:rPr>
              <w:t>Notify</w:t>
            </w:r>
          </w:p>
        </w:tc>
        <w:tc>
          <w:tcPr>
            <w:tcW w:w="0" w:type="auto"/>
            <w:shd w:val="clear" w:color="auto" w:fill="F4F7FB"/>
          </w:tcPr>
          <w:p>
            <w:pPr>
              <w:spacing w:after="40" w:before="40"/>
            </w:pPr>
            <w:r>
              <w:rPr>
                <w:sz w:val="18"/>
                <w:szCs w:val="18"/>
              </w:rPr>
              <w:t>3005</w:t>
            </w:r>
          </w:p>
        </w:tc>
        <w:tc>
          <w:tcPr>
            <w:tcW w:w="0" w:type="auto"/>
            <w:shd w:val="clear" w:color="auto" w:fill="F4F7FB"/>
          </w:tcPr>
          <w:p>
            <w:pPr>
              <w:spacing w:after="40" w:before="40"/>
            </w:pPr>
            <w:r>
              <w:rPr>
                <w:sz w:val="18"/>
                <w:szCs w:val="18"/>
              </w:rPr>
              <w:t>@ddwmd/notify</w:t>
            </w:r>
          </w:p>
        </w:tc>
        <w:tc>
          <w:tcPr>
            <w:tcW w:w="0" w:type="auto"/>
            <w:shd w:val="clear" w:color="auto" w:fill="F4F7FB"/>
          </w:tcPr>
          <w:p>
            <w:pPr>
              <w:spacing w:after="40" w:before="40"/>
            </w:pPr>
            <w:r>
              <w:rPr>
                <w:sz w:val="18"/>
                <w:szCs w:val="18"/>
              </w:rPr>
              <w:t>district_notify</w:t>
            </w:r>
          </w:p>
        </w:tc>
        <w:tc>
          <w:tcPr>
            <w:tcW w:w="0" w:type="auto"/>
            <w:shd w:val="clear" w:color="auto" w:fill="F4F7FB"/>
          </w:tcPr>
          <w:p>
            <w:pPr>
              <w:spacing w:after="40" w:before="40"/>
            </w:pPr>
            <w:r>
              <w:rPr>
                <w:sz w:val="18"/>
                <w:szCs w:val="18"/>
              </w:rPr>
              <w:t>In-app inbox and read receipts</w:t>
            </w:r>
          </w:p>
        </w:tc>
      </w:tr>
    </w:tbl>
    <w:p>
      <w:pPr>
        <w:spacing w:after="200"/>
      </w:pPr>
    </w:p>
    <w:p>
      <w:pPr>
        <w:pStyle w:val="Normal"/>
        <w:spacing w:after="160"/>
      </w:pPr>
      <w:r>
        <w:t>Keycloak :8080 — realms system, changlang, tirap (and any future district). Client id ddwmd-web; API audience ddwmd-api.</w:t>
      </w:r>
    </w:p>
    <w:p>
      <w:pPr>
        <w:pStyle w:val="Normal"/>
        <w:spacing w:after="160"/>
      </w:pPr>
      <w:r>
        <w:t>PostgreSQL — one server is enough. Five databases, created by deploy/postgres/init.sql. No shared Prisma models across services.</w:t>
      </w:r>
    </w:p>
    <w:p>
      <w:pPr>
        <w:pStyle w:val="Normal"/>
        <w:spacing w:after="160"/>
      </w:pPr>
      <w:r>
        <w:t>File storage — STORAGE_ROOT (local folder). Replicated Works processes must share that volume.</w:t>
      </w:r>
    </w:p>
    <w:p>
      <w:pPr>
        <w:pStyle w:val="Heading1"/>
        <w:spacing w:after="200"/>
      </w:pPr>
      <w:r>
        <w:t>Shared library only</w:t>
      </w:r>
    </w:p>
    <w:p>
      <w:pPr>
        <w:pStyle w:val="Normal"/>
        <w:spacing w:after="160"/>
      </w:pPr>
      <w:r>
        <w:t>Shared TypeScript lives in packages/common (@ddwmd/common): JWT verification, AuthContext, permission guards, internal HTTP client with timeouts and GET/PUT failover, TTL cache, health endpoints, UUID-like validator, Notify publisher. There is no combined Nest AppModule monolith and no service-per-table.</w:t>
      </w:r>
    </w:p>
    <w:p>
      <w:pPr>
        <w:pStyle w:val="Heading1"/>
        <w:spacing w:after="200"/>
      </w:pPr>
      <w:r>
        <w:t>How a request is authorized</w:t>
      </w:r>
    </w:p>
    <w:p>
      <w:pPr>
        <w:pStyle w:val="ListNumber"/>
        <w:spacing w:after="80"/>
      </w:pPr>
      <w:r>
        <w:t>1. User picks a district on /login. SPA loads login options from Identity (district list comes from Organization).</w:t>
      </w:r>
    </w:p>
    <w:p>
      <w:pPr>
        <w:pStyle w:val="ListNumber"/>
        <w:spacing w:after="80"/>
      </w:pPr>
      <w:r>
        <w:t>2. Browser completes OIDC against that realm. Access token stays in memory (oidc-client-ts).</w:t>
      </w:r>
    </w:p>
    <w:p>
      <w:pPr>
        <w:pStyle w:val="ListNumber"/>
        <w:spacing w:after="80"/>
      </w:pPr>
      <w:r>
        <w:t>3. SPA calls Gateway /api/v1/... with Authorization: Bearer.</w:t>
      </w:r>
    </w:p>
    <w:p>
      <w:pPr>
        <w:pStyle w:val="ListNumber"/>
        <w:spacing w:after="80"/>
      </w:pPr>
      <w:r>
        <w:t>4. Gateway proxies to the owning service. That service verifies signature, expiry, and iss against the allow-list.</w:t>
      </w:r>
    </w:p>
    <w:p>
      <w:pPr>
        <w:pStyle w:val="ListNumber"/>
        <w:spacing w:after="80"/>
      </w:pPr>
      <w:r>
        <w:t>5. Identity maps (iss, sub) or provisioned email to an application user and roles. Other services call Identity /auth/me (cached ~15 seconds).</w:t>
      </w:r>
    </w:p>
    <w:p>
      <w:pPr>
        <w:pStyle w:val="ListNumber"/>
        <w:spacing w:after="80"/>
      </w:pPr>
      <w:r>
        <w:t>6. Queries are scoped by district and department from AuthContext. React never authorizes on its own.</w:t>
      </w:r>
    </w:p>
    <w:p>
      <w:pPr>
        <w:pStyle w:val="Heading1"/>
        <w:spacing w:after="200"/>
      </w:pPr>
      <w:r>
        <w:t>Cross-service HTTP</w:t>
      </w:r>
    </w:p>
    <w:tbl>
      <w:tblPr>
        <w:tblW w:w="5000" w:type="pct"/>
        <w:tblLayout w:type="autofi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0" w:type="auto"/>
            <w:shd w:val="clear" w:color="auto" w:fill="1F4E79"/>
          </w:tcPr>
          <w:p>
            <w:pPr>
              <w:spacing w:after="40" w:before="40"/>
            </w:pPr>
            <w:r>
              <w:rPr>
                <w:b/>
                <w:color w:val="FFFFFF"/>
                <w:sz w:val="18"/>
                <w:szCs w:val="18"/>
              </w:rPr>
              <w:t>From</w:t>
            </w:r>
          </w:p>
        </w:tc>
        <w:tc>
          <w:tcPr>
            <w:tcW w:w="0" w:type="auto"/>
            <w:shd w:val="clear" w:color="auto" w:fill="1F4E79"/>
          </w:tcPr>
          <w:p>
            <w:pPr>
              <w:spacing w:after="40" w:before="40"/>
            </w:pPr>
            <w:r>
              <w:rPr>
                <w:b/>
                <w:color w:val="FFFFFF"/>
                <w:sz w:val="18"/>
                <w:szCs w:val="18"/>
              </w:rPr>
              <w:t>To</w:t>
            </w:r>
          </w:p>
        </w:tc>
        <w:tc>
          <w:tcPr>
            <w:tcW w:w="0" w:type="auto"/>
            <w:shd w:val="clear" w:color="auto" w:fill="1F4E79"/>
          </w:tcPr>
          <w:p>
            <w:pPr>
              <w:spacing w:after="40" w:before="40"/>
            </w:pPr>
            <w:r>
              <w:rPr>
                <w:b/>
                <w:color w:val="FFFFFF"/>
                <w:sz w:val="18"/>
                <w:szCs w:val="18"/>
              </w:rPr>
              <w:t>Why</w:t>
            </w:r>
          </w:p>
        </w:tc>
      </w:tr>
      <w:tr>
        <w:tc>
          <w:tcPr>
            <w:tcW w:w="0" w:type="auto"/>
            <w:shd w:val="clear" w:color="auto" w:fill="F4F7FB"/>
          </w:tcPr>
          <w:p>
            <w:pPr>
              <w:spacing w:after="40" w:before="40"/>
            </w:pPr>
            <w:r>
              <w:rPr>
                <w:sz w:val="18"/>
                <w:szCs w:val="18"/>
              </w:rPr>
              <w:t>Identity</w:t>
            </w:r>
          </w:p>
        </w:tc>
        <w:tc>
          <w:tcPr>
            <w:tcW w:w="0" w:type="auto"/>
            <w:shd w:val="clear" w:color="auto" w:fill="F4F7FB"/>
          </w:tcPr>
          <w:p>
            <w:pPr>
              <w:spacing w:after="40" w:before="40"/>
            </w:pPr>
            <w:r>
              <w:rPr>
                <w:sz w:val="18"/>
                <w:szCs w:val="18"/>
              </w:rPr>
              <w:t>Organization /internal/district-realms</w:t>
            </w:r>
          </w:p>
        </w:tc>
        <w:tc>
          <w:tcPr>
            <w:tcW w:w="0" w:type="auto"/>
            <w:shd w:val="clear" w:color="auto" w:fill="F4F7FB"/>
          </w:tcPr>
          <w:p>
            <w:pPr>
              <w:spacing w:after="40" w:before="40"/>
            </w:pPr>
            <w:r>
              <w:rPr>
                <w:sz w:val="18"/>
                <w:szCs w:val="18"/>
              </w:rPr>
              <w:t>Districts shown on the login page</w:t>
            </w:r>
          </w:p>
        </w:tc>
      </w:tr>
      <w:tr>
        <w:tc>
          <w:tcPr>
            <w:tcW w:w="0" w:type="auto"/>
            <w:shd w:val="clear" w:color="auto" w:fill="F4F7FB"/>
          </w:tcPr>
          <w:p>
            <w:pPr>
              <w:spacing w:after="40" w:before="40"/>
            </w:pPr>
            <w:r>
              <w:rPr>
                <w:sz w:val="18"/>
                <w:szCs w:val="18"/>
              </w:rPr>
              <w:t>Organization</w:t>
            </w:r>
          </w:p>
        </w:tc>
        <w:tc>
          <w:tcPr>
            <w:tcW w:w="0" w:type="auto"/>
            <w:shd w:val="clear" w:color="auto" w:fill="F4F7FB"/>
          </w:tcPr>
          <w:p>
            <w:pPr>
              <w:spacing w:after="40" w:before="40"/>
            </w:pPr>
            <w:r>
              <w:rPr>
                <w:sz w:val="18"/>
                <w:szCs w:val="18"/>
              </w:rPr>
              <w:t>Identity /internal/issuers</w:t>
            </w:r>
          </w:p>
        </w:tc>
        <w:tc>
          <w:tcPr>
            <w:tcW w:w="0" w:type="auto"/>
            <w:shd w:val="clear" w:color="auto" w:fill="F4F7FB"/>
          </w:tcPr>
          <w:p>
            <w:pPr>
              <w:spacing w:after="40" w:before="40"/>
            </w:pPr>
            <w:r>
              <w:rPr>
                <w:sz w:val="18"/>
                <w:szCs w:val="18"/>
              </w:rPr>
              <w:t>Keep JWT iss allow-list in sync when a district is saved</w:t>
            </w:r>
          </w:p>
        </w:tc>
      </w:tr>
      <w:tr>
        <w:tc>
          <w:tcPr>
            <w:tcW w:w="0" w:type="auto"/>
            <w:shd w:val="clear" w:color="auto" w:fill="F4F7FB"/>
          </w:tcPr>
          <w:p>
            <w:pPr>
              <w:spacing w:after="40" w:before="40"/>
            </w:pPr>
            <w:r>
              <w:rPr>
                <w:sz w:val="18"/>
                <w:szCs w:val="18"/>
              </w:rPr>
              <w:t>Organization, Works, Governance, Notify</w:t>
            </w:r>
          </w:p>
        </w:tc>
        <w:tc>
          <w:tcPr>
            <w:tcW w:w="0" w:type="auto"/>
            <w:shd w:val="clear" w:color="auto" w:fill="F4F7FB"/>
          </w:tcPr>
          <w:p>
            <w:pPr>
              <w:spacing w:after="40" w:before="40"/>
            </w:pPr>
            <w:r>
              <w:rPr>
                <w:sz w:val="18"/>
                <w:szCs w:val="18"/>
              </w:rPr>
              <w:t>Identity /auth/me</w:t>
            </w:r>
          </w:p>
        </w:tc>
        <w:tc>
          <w:tcPr>
            <w:tcW w:w="0" w:type="auto"/>
            <w:shd w:val="clear" w:color="auto" w:fill="F4F7FB"/>
          </w:tcPr>
          <w:p>
            <w:pPr>
              <w:spacing w:after="40" w:before="40"/>
            </w:pPr>
            <w:r>
              <w:rPr>
                <w:sz w:val="18"/>
                <w:szCs w:val="18"/>
              </w:rPr>
              <w:t>Map JWT to AuthContext</w:t>
            </w:r>
          </w:p>
        </w:tc>
      </w:tr>
      <w:tr>
        <w:tc>
          <w:tcPr>
            <w:tcW w:w="0" w:type="auto"/>
            <w:shd w:val="clear" w:color="auto" w:fill="F4F7FB"/>
          </w:tcPr>
          <w:p>
            <w:pPr>
              <w:spacing w:after="40" w:before="40"/>
            </w:pPr>
            <w:r>
              <w:rPr>
                <w:sz w:val="18"/>
                <w:szCs w:val="18"/>
              </w:rPr>
              <w:t>Works</w:t>
            </w:r>
          </w:p>
        </w:tc>
        <w:tc>
          <w:tcPr>
            <w:tcW w:w="0" w:type="auto"/>
            <w:shd w:val="clear" w:color="auto" w:fill="F4F7FB"/>
          </w:tcPr>
          <w:p>
            <w:pPr>
              <w:spacing w:after="40" w:before="40"/>
            </w:pPr>
            <w:r>
              <w:rPr>
                <w:sz w:val="18"/>
                <w:szCs w:val="18"/>
              </w:rPr>
              <w:t>Organization /internal/departments/:id</w:t>
            </w:r>
          </w:p>
        </w:tc>
        <w:tc>
          <w:tcPr>
            <w:tcW w:w="0" w:type="auto"/>
            <w:shd w:val="clear" w:color="auto" w:fill="F4F7FB"/>
          </w:tcPr>
          <w:p>
            <w:pPr>
              <w:spacing w:after="40" w:before="40"/>
            </w:pPr>
            <w:r>
              <w:rPr>
                <w:sz w:val="18"/>
                <w:szCs w:val="18"/>
              </w:rPr>
              <w:t>Department code for project numbers (cached ~30s)</w:t>
            </w:r>
          </w:p>
        </w:tc>
      </w:tr>
      <w:tr>
        <w:tc>
          <w:tcPr>
            <w:tcW w:w="0" w:type="auto"/>
            <w:shd w:val="clear" w:color="auto" w:fill="F4F7FB"/>
          </w:tcPr>
          <w:p>
            <w:pPr>
              <w:spacing w:after="40" w:before="40"/>
            </w:pPr>
            <w:r>
              <w:rPr>
                <w:sz w:val="18"/>
                <w:szCs w:val="18"/>
              </w:rPr>
              <w:t>Works, Governance</w:t>
            </w:r>
          </w:p>
        </w:tc>
        <w:tc>
          <w:tcPr>
            <w:tcW w:w="0" w:type="auto"/>
            <w:shd w:val="clear" w:color="auto" w:fill="F4F7FB"/>
          </w:tcPr>
          <w:p>
            <w:pPr>
              <w:spacing w:after="40" w:before="40"/>
            </w:pPr>
            <w:r>
              <w:rPr>
                <w:sz w:val="18"/>
                <w:szCs w:val="18"/>
              </w:rPr>
              <w:t>Notify /internal/notifications</w:t>
            </w:r>
          </w:p>
        </w:tc>
        <w:tc>
          <w:tcPr>
            <w:tcW w:w="0" w:type="auto"/>
            <w:shd w:val="clear" w:color="auto" w:fill="F4F7FB"/>
          </w:tcPr>
          <w:p>
            <w:pPr>
              <w:spacing w:after="40" w:before="40"/>
            </w:pPr>
            <w:r>
              <w:rPr>
                <w:sz w:val="18"/>
                <w:szCs w:val="18"/>
              </w:rPr>
              <w:t>Fire-and-forget alerts; POST is not retried</w:t>
            </w:r>
          </w:p>
        </w:tc>
      </w:tr>
    </w:tbl>
    <w:p>
      <w:pPr>
        <w:spacing w:after="200"/>
      </w:pPr>
    </w:p>
    <w:p>
      <w:pPr>
        <w:pStyle w:val="Normal"/>
        <w:spacing w:after="160"/>
      </w:pPr>
      <w:r>
        <w:t>Internal calls use INTERNAL_API_KEY (header) and INTERNAL_HTTP_TIMEOUT_MS (default 3000). Notify ingest is not retried, to avoid duplicate inbox rows.</w:t>
      </w:r>
    </w:p>
    <w:p>
      <w:pPr>
        <w:pStyle w:val="Heading1"/>
        <w:spacing w:after="200"/>
      </w:pPr>
      <w:r>
        <w:t>Data rules that shape the architecture</w:t>
      </w:r>
    </w:p>
    <w:p>
      <w:pPr>
        <w:pStyle w:val="ListBullet"/>
        <w:spacing w:after="80"/>
        <w:numPr>
          <w:ilvl w:val="0"/>
          <w:numId w:val="1"/>
        </w:numPr>
      </w:pPr>
      <w:r>
        <w:t>Passwords exist only in Keycloak.</w:t>
      </w:r>
    </w:p>
    <w:p>
      <w:pPr>
        <w:pStyle w:val="ListBullet"/>
        <w:spacing w:after="80"/>
        <w:numPr>
          <w:ilvl w:val="0"/>
          <w:numId w:val="1"/>
        </w:numPr>
      </w:pPr>
      <w:r>
        <w:t>project_progress is append-only. A correction is a new version, never an UPDATE of an old row.</w:t>
      </w:r>
    </w:p>
    <w:p>
      <w:pPr>
        <w:pStyle w:val="ListBullet"/>
        <w:spacing w:after="80"/>
        <w:numPr>
          <w:ilvl w:val="0"/>
          <w:numId w:val="1"/>
        </w:numPr>
      </w:pPr>
      <w:r>
        <w:t>Identity stores districtId / departmentId as UUIDs copied from Organization — not foreign keys across databases.</w:t>
      </w:r>
    </w:p>
    <w:p>
      <w:pPr>
        <w:pStyle w:val="ListBullet"/>
        <w:spacing w:after="80"/>
        <w:numPr>
          <w:ilvl w:val="0"/>
          <w:numId w:val="1"/>
        </w:numPr>
      </w:pPr>
      <w:r>
        <w:t>Governance action_items copy project_id from Works — again no cross-database FK.</w:t>
      </w:r>
    </w:p>
    <w:p>
      <w:pPr>
        <w:pStyle w:val="Heading1"/>
        <w:spacing w:after="200"/>
      </w:pPr>
      <w:r>
        <w:t>Front-end map</w:t>
      </w:r>
    </w:p>
    <w:tbl>
      <w:tblPr>
        <w:tblW w:w="5000" w:type="pct"/>
        <w:tblLayout w:type="autofi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0" w:type="auto"/>
            <w:shd w:val="clear" w:color="auto" w:fill="1F4E79"/>
          </w:tcPr>
          <w:p>
            <w:pPr>
              <w:spacing w:after="40" w:before="40"/>
            </w:pPr>
            <w:r>
              <w:rPr>
                <w:b/>
                <w:color w:val="FFFFFF"/>
                <w:sz w:val="18"/>
                <w:szCs w:val="18"/>
              </w:rPr>
              <w:t>UI route</w:t>
            </w:r>
          </w:p>
        </w:tc>
        <w:tc>
          <w:tcPr>
            <w:tcW w:w="0" w:type="auto"/>
            <w:shd w:val="clear" w:color="auto" w:fill="1F4E79"/>
          </w:tcPr>
          <w:p>
            <w:pPr>
              <w:spacing w:after="40" w:before="40"/>
            </w:pPr>
            <w:r>
              <w:rPr>
                <w:b/>
                <w:color w:val="FFFFFF"/>
                <w:sz w:val="18"/>
                <w:szCs w:val="18"/>
              </w:rPr>
              <w:t>Gateway / API area</w:t>
            </w:r>
          </w:p>
        </w:tc>
        <w:tc>
          <w:tcPr>
            <w:tcW w:w="0" w:type="auto"/>
            <w:shd w:val="clear" w:color="auto" w:fill="1F4E79"/>
          </w:tcPr>
          <w:p>
            <w:pPr>
              <w:spacing w:after="40" w:before="40"/>
            </w:pPr>
            <w:r>
              <w:rPr>
                <w:b/>
                <w:color w:val="FFFFFF"/>
                <w:sz w:val="18"/>
                <w:szCs w:val="18"/>
              </w:rPr>
              <w:t>Owning service</w:t>
            </w:r>
          </w:p>
        </w:tc>
      </w:tr>
      <w:tr>
        <w:tc>
          <w:tcPr>
            <w:tcW w:w="0" w:type="auto"/>
            <w:shd w:val="clear" w:color="auto" w:fill="F4F7FB"/>
          </w:tcPr>
          <w:p>
            <w:pPr>
              <w:spacing w:after="40" w:before="40"/>
            </w:pPr>
            <w:r>
              <w:rPr>
                <w:sz w:val="18"/>
                <w:szCs w:val="18"/>
              </w:rPr>
              <w:t>/login, /auth/callback, /auth/silent-renew</w:t>
            </w:r>
          </w:p>
        </w:tc>
        <w:tc>
          <w:tcPr>
            <w:tcW w:w="0" w:type="auto"/>
            <w:shd w:val="clear" w:color="auto" w:fill="F4F7FB"/>
          </w:tcPr>
          <w:p>
            <w:pPr>
              <w:spacing w:after="40" w:before="40"/>
            </w:pPr>
            <w:r>
              <w:rPr>
                <w:sz w:val="18"/>
                <w:szCs w:val="18"/>
              </w:rPr>
              <w:t>/auth/login-options, OIDC</w:t>
            </w:r>
          </w:p>
        </w:tc>
        <w:tc>
          <w:tcPr>
            <w:tcW w:w="0" w:type="auto"/>
            <w:shd w:val="clear" w:color="auto" w:fill="F4F7FB"/>
          </w:tcPr>
          <w:p>
            <w:pPr>
              <w:spacing w:after="40" w:before="40"/>
            </w:pPr>
            <w:r>
              <w:rPr>
                <w:sz w:val="18"/>
                <w:szCs w:val="18"/>
              </w:rPr>
              <w:t>Identity + Organization + Keycloak</w:t>
            </w:r>
          </w:p>
        </w:tc>
      </w:tr>
      <w:tr>
        <w:tc>
          <w:tcPr>
            <w:tcW w:w="0" w:type="auto"/>
            <w:shd w:val="clear" w:color="auto" w:fill="F4F7FB"/>
          </w:tcPr>
          <w:p>
            <w:pPr>
              <w:spacing w:after="40" w:before="40"/>
            </w:pPr>
            <w:r>
              <w:rPr>
                <w:sz w:val="18"/>
                <w:szCs w:val="18"/>
              </w:rPr>
              <w:t>/dashboard</w:t>
            </w:r>
          </w:p>
        </w:tc>
        <w:tc>
          <w:tcPr>
            <w:tcW w:w="0" w:type="auto"/>
            <w:shd w:val="clear" w:color="auto" w:fill="F4F7FB"/>
          </w:tcPr>
          <w:p>
            <w:pPr>
              <w:spacing w:after="40" w:before="40"/>
            </w:pPr>
            <w:r>
              <w:rPr>
                <w:sz w:val="18"/>
                <w:szCs w:val="18"/>
              </w:rPr>
              <w:t>/dashboard, governance summary</w:t>
            </w:r>
          </w:p>
        </w:tc>
        <w:tc>
          <w:tcPr>
            <w:tcW w:w="0" w:type="auto"/>
            <w:shd w:val="clear" w:color="auto" w:fill="F4F7FB"/>
          </w:tcPr>
          <w:p>
            <w:pPr>
              <w:spacing w:after="40" w:before="40"/>
            </w:pPr>
            <w:r>
              <w:rPr>
                <w:sz w:val="18"/>
                <w:szCs w:val="18"/>
              </w:rPr>
              <w:t>Works + Governance</w:t>
            </w:r>
          </w:p>
        </w:tc>
      </w:tr>
      <w:tr>
        <w:tc>
          <w:tcPr>
            <w:tcW w:w="0" w:type="auto"/>
            <w:shd w:val="clear" w:color="auto" w:fill="F4F7FB"/>
          </w:tcPr>
          <w:p>
            <w:pPr>
              <w:spacing w:after="40" w:before="40"/>
            </w:pPr>
            <w:r>
              <w:rPr>
                <w:sz w:val="18"/>
                <w:szCs w:val="18"/>
              </w:rPr>
              <w:t>/projects, /projects/:id</w:t>
            </w:r>
          </w:p>
        </w:tc>
        <w:tc>
          <w:tcPr>
            <w:tcW w:w="0" w:type="auto"/>
            <w:shd w:val="clear" w:color="auto" w:fill="F4F7FB"/>
          </w:tcPr>
          <w:p>
            <w:pPr>
              <w:spacing w:after="40" w:before="40"/>
            </w:pPr>
            <w:r>
              <w:rPr>
                <w:sz w:val="18"/>
                <w:szCs w:val="18"/>
              </w:rPr>
              <w:t>/projects, /progress, /documents</w:t>
            </w:r>
          </w:p>
        </w:tc>
        <w:tc>
          <w:tcPr>
            <w:tcW w:w="0" w:type="auto"/>
            <w:shd w:val="clear" w:color="auto" w:fill="F4F7FB"/>
          </w:tcPr>
          <w:p>
            <w:pPr>
              <w:spacing w:after="40" w:before="40"/>
            </w:pPr>
            <w:r>
              <w:rPr>
                <w:sz w:val="18"/>
                <w:szCs w:val="18"/>
              </w:rPr>
              <w:t>Works</w:t>
            </w:r>
          </w:p>
        </w:tc>
      </w:tr>
      <w:tr>
        <w:tc>
          <w:tcPr>
            <w:tcW w:w="0" w:type="auto"/>
            <w:shd w:val="clear" w:color="auto" w:fill="F4F7FB"/>
          </w:tcPr>
          <w:p>
            <w:pPr>
              <w:spacing w:after="40" w:before="40"/>
            </w:pPr>
            <w:r>
              <w:rPr>
                <w:sz w:val="18"/>
                <w:szCs w:val="18"/>
              </w:rPr>
              <w:t>/actions</w:t>
            </w:r>
          </w:p>
        </w:tc>
        <w:tc>
          <w:tcPr>
            <w:tcW w:w="0" w:type="auto"/>
            <w:shd w:val="clear" w:color="auto" w:fill="F4F7FB"/>
          </w:tcPr>
          <w:p>
            <w:pPr>
              <w:spacing w:after="40" w:before="40"/>
            </w:pPr>
            <w:r>
              <w:rPr>
                <w:sz w:val="18"/>
                <w:szCs w:val="18"/>
              </w:rPr>
              <w:t>/actions</w:t>
            </w:r>
          </w:p>
        </w:tc>
        <w:tc>
          <w:tcPr>
            <w:tcW w:w="0" w:type="auto"/>
            <w:shd w:val="clear" w:color="auto" w:fill="F4F7FB"/>
          </w:tcPr>
          <w:p>
            <w:pPr>
              <w:spacing w:after="40" w:before="40"/>
            </w:pPr>
            <w:r>
              <w:rPr>
                <w:sz w:val="18"/>
                <w:szCs w:val="18"/>
              </w:rPr>
              <w:t>Governance</w:t>
            </w:r>
          </w:p>
        </w:tc>
      </w:tr>
      <w:tr>
        <w:tc>
          <w:tcPr>
            <w:tcW w:w="0" w:type="auto"/>
            <w:shd w:val="clear" w:color="auto" w:fill="F4F7FB"/>
          </w:tcPr>
          <w:p>
            <w:pPr>
              <w:spacing w:after="40" w:before="40"/>
            </w:pPr>
            <w:r>
              <w:rPr>
                <w:sz w:val="18"/>
                <w:szCs w:val="18"/>
              </w:rPr>
              <w:t>/meetings</w:t>
            </w:r>
          </w:p>
        </w:tc>
        <w:tc>
          <w:tcPr>
            <w:tcW w:w="0" w:type="auto"/>
            <w:shd w:val="clear" w:color="auto" w:fill="F4F7FB"/>
          </w:tcPr>
          <w:p>
            <w:pPr>
              <w:spacing w:after="40" w:before="40"/>
            </w:pPr>
            <w:r>
              <w:rPr>
                <w:sz w:val="18"/>
                <w:szCs w:val="18"/>
              </w:rPr>
              <w:t>/meetings</w:t>
            </w:r>
          </w:p>
        </w:tc>
        <w:tc>
          <w:tcPr>
            <w:tcW w:w="0" w:type="auto"/>
            <w:shd w:val="clear" w:color="auto" w:fill="F4F7FB"/>
          </w:tcPr>
          <w:p>
            <w:pPr>
              <w:spacing w:after="40" w:before="40"/>
            </w:pPr>
            <w:r>
              <w:rPr>
                <w:sz w:val="18"/>
                <w:szCs w:val="18"/>
              </w:rPr>
              <w:t>Governance</w:t>
            </w:r>
          </w:p>
        </w:tc>
      </w:tr>
      <w:tr>
        <w:tc>
          <w:tcPr>
            <w:tcW w:w="0" w:type="auto"/>
            <w:shd w:val="clear" w:color="auto" w:fill="F4F7FB"/>
          </w:tcPr>
          <w:p>
            <w:pPr>
              <w:spacing w:after="40" w:before="40"/>
            </w:pPr>
            <w:r>
              <w:rPr>
                <w:sz w:val="18"/>
                <w:szCs w:val="18"/>
              </w:rPr>
              <w:t>/reports</w:t>
            </w:r>
          </w:p>
        </w:tc>
        <w:tc>
          <w:tcPr>
            <w:tcW w:w="0" w:type="auto"/>
            <w:shd w:val="clear" w:color="auto" w:fill="F4F7FB"/>
          </w:tcPr>
          <w:p>
            <w:pPr>
              <w:spacing w:after="40" w:before="40"/>
            </w:pPr>
            <w:r>
              <w:rPr>
                <w:sz w:val="18"/>
                <w:szCs w:val="18"/>
              </w:rPr>
              <w:t>/reports/*.csv</w:t>
            </w:r>
          </w:p>
        </w:tc>
        <w:tc>
          <w:tcPr>
            <w:tcW w:w="0" w:type="auto"/>
            <w:shd w:val="clear" w:color="auto" w:fill="F4F7FB"/>
          </w:tcPr>
          <w:p>
            <w:pPr>
              <w:spacing w:after="40" w:before="40"/>
            </w:pPr>
            <w:r>
              <w:rPr>
                <w:sz w:val="18"/>
                <w:szCs w:val="18"/>
              </w:rPr>
              <w:t>Works + Governance</w:t>
            </w:r>
          </w:p>
        </w:tc>
      </w:tr>
      <w:tr>
        <w:tc>
          <w:tcPr>
            <w:tcW w:w="0" w:type="auto"/>
            <w:shd w:val="clear" w:color="auto" w:fill="F4F7FB"/>
          </w:tcPr>
          <w:p>
            <w:pPr>
              <w:spacing w:after="40" w:before="40"/>
            </w:pPr>
            <w:r>
              <w:rPr>
                <w:sz w:val="18"/>
                <w:szCs w:val="18"/>
              </w:rPr>
              <w:t>Notification bell</w:t>
            </w:r>
          </w:p>
        </w:tc>
        <w:tc>
          <w:tcPr>
            <w:tcW w:w="0" w:type="auto"/>
            <w:shd w:val="clear" w:color="auto" w:fill="F4F7FB"/>
          </w:tcPr>
          <w:p>
            <w:pPr>
              <w:spacing w:after="40" w:before="40"/>
            </w:pPr>
            <w:r>
              <w:rPr>
                <w:sz w:val="18"/>
                <w:szCs w:val="18"/>
              </w:rPr>
              <w:t>/notifications</w:t>
            </w:r>
          </w:p>
        </w:tc>
        <w:tc>
          <w:tcPr>
            <w:tcW w:w="0" w:type="auto"/>
            <w:shd w:val="clear" w:color="auto" w:fill="F4F7FB"/>
          </w:tcPr>
          <w:p>
            <w:pPr>
              <w:spacing w:after="40" w:before="40"/>
            </w:pPr>
            <w:r>
              <w:rPr>
                <w:sz w:val="18"/>
                <w:szCs w:val="18"/>
              </w:rPr>
              <w:t>Notify</w:t>
            </w:r>
          </w:p>
        </w:tc>
      </w:tr>
      <w:tr>
        <w:tc>
          <w:tcPr>
            <w:tcW w:w="0" w:type="auto"/>
            <w:shd w:val="clear" w:color="auto" w:fill="F4F7FB"/>
          </w:tcPr>
          <w:p>
            <w:pPr>
              <w:spacing w:after="40" w:before="40"/>
            </w:pPr>
            <w:r>
              <w:rPr>
                <w:sz w:val="18"/>
                <w:szCs w:val="18"/>
              </w:rPr>
              <w:t>/administration</w:t>
            </w:r>
          </w:p>
        </w:tc>
        <w:tc>
          <w:tcPr>
            <w:tcW w:w="0" w:type="auto"/>
            <w:shd w:val="clear" w:color="auto" w:fill="F4F7FB"/>
          </w:tcPr>
          <w:p>
            <w:pPr>
              <w:spacing w:after="40" w:before="40"/>
            </w:pPr>
            <w:r>
              <w:rPr>
                <w:sz w:val="18"/>
                <w:szCs w:val="18"/>
              </w:rPr>
              <w:t>/districts, /departments, /users, …</w:t>
            </w:r>
          </w:p>
        </w:tc>
        <w:tc>
          <w:tcPr>
            <w:tcW w:w="0" w:type="auto"/>
            <w:shd w:val="clear" w:color="auto" w:fill="F4F7FB"/>
          </w:tcPr>
          <w:p>
            <w:pPr>
              <w:spacing w:after="40" w:before="40"/>
            </w:pPr>
            <w:r>
              <w:rPr>
                <w:sz w:val="18"/>
                <w:szCs w:val="18"/>
              </w:rPr>
              <w:t>Organization + Identity</w:t>
            </w:r>
          </w:p>
        </w:tc>
      </w:tr>
      <w:tr>
        <w:tc>
          <w:tcPr>
            <w:tcW w:w="0" w:type="auto"/>
            <w:shd w:val="clear" w:color="auto" w:fill="F4F7FB"/>
          </w:tcPr>
          <w:p>
            <w:pPr>
              <w:spacing w:after="40" w:before="40"/>
            </w:pPr>
            <w:r>
              <w:rPr>
                <w:sz w:val="18"/>
                <w:szCs w:val="18"/>
              </w:rPr>
              <w:t>/health</w:t>
            </w:r>
          </w:p>
        </w:tc>
        <w:tc>
          <w:tcPr>
            <w:tcW w:w="0" w:type="auto"/>
            <w:shd w:val="clear" w:color="auto" w:fill="F4F7FB"/>
          </w:tcPr>
          <w:p>
            <w:pPr>
              <w:spacing w:after="40" w:before="40"/>
            </w:pPr>
            <w:r>
              <w:rPr>
                <w:sz w:val="18"/>
                <w:szCs w:val="18"/>
              </w:rPr>
              <w:t>/health</w:t>
            </w:r>
          </w:p>
        </w:tc>
        <w:tc>
          <w:tcPr>
            <w:tcW w:w="0" w:type="auto"/>
            <w:shd w:val="clear" w:color="auto" w:fill="F4F7FB"/>
          </w:tcPr>
          <w:p>
            <w:pPr>
              <w:spacing w:after="40" w:before="40"/>
            </w:pPr>
            <w:r>
              <w:rPr>
                <w:sz w:val="18"/>
                <w:szCs w:val="18"/>
              </w:rPr>
              <w:t>Each service + gateway</w:t>
            </w:r>
          </w:p>
        </w:tc>
      </w:tr>
    </w:tbl>
    <w:p>
      <w:pPr>
        <w:spacing w:after="200"/>
      </w:pPr>
    </w:p>
    <w:p>
      <w:pPr>
        <w:pStyle w:val="Heading1"/>
        <w:spacing w:after="200"/>
      </w:pPr>
      <w:r>
        <w:t>Scale-out (optional)</w:t>
      </w:r>
    </w:p>
    <w:p>
      <w:pPr>
        <w:pStyle w:val="Normal"/>
        <w:spacing w:after="160"/>
      </w:pPr>
      <w:r>
        <w:t>Processes are stateless except Works file storage. docker-compose.scale.yml and deploy/k8s allow independent replica counts. Prisma connection_limit is per replica (PRISMA_CONNECTION_LIMIT, default 10). Gateway can take comma-separated upstream URLs.</w:t>
      </w:r>
    </w:p>
    <w:p>
      <w:pPr>
        <w:pStyle w:val="Heading1"/>
        <w:spacing w:after="200"/>
      </w:pPr>
      <w:r>
        <w:t>What not to invent</w:t>
      </w:r>
    </w:p>
    <w:p>
      <w:pPr>
        <w:pStyle w:val="ListBullet"/>
        <w:spacing w:after="80"/>
        <w:numPr>
          <w:ilvl w:val="0"/>
          <w:numId w:val="1"/>
        </w:numPr>
      </w:pPr>
      <w:r>
        <w:t>Do not add a microservice per table.</w:t>
      </w:r>
    </w:p>
    <w:p>
      <w:pPr>
        <w:pStyle w:val="ListBullet"/>
        <w:spacing w:after="80"/>
        <w:numPr>
          <w:ilvl w:val="0"/>
          <w:numId w:val="1"/>
        </w:numPr>
      </w:pPr>
      <w:r>
        <w:t>Do not merge services into one Nest AppModule.</w:t>
      </w:r>
    </w:p>
    <w:p>
      <w:pPr>
        <w:pStyle w:val="ListBullet"/>
        <w:spacing w:after="80"/>
        <w:numPr>
          <w:ilvl w:val="0"/>
          <w:numId w:val="1"/>
        </w:numPr>
      </w:pPr>
      <w:r>
        <w:t>Do not put two districts in one Keycloak realm.</w:t>
      </w:r>
    </w:p>
    <w:p>
      <w:pPr>
        <w:pStyle w:val="ListBullet"/>
        <w:spacing w:after="80"/>
        <w:numPr>
          <w:ilvl w:val="0"/>
          <w:numId w:val="1"/>
        </w:numPr>
      </w:pPr>
      <w:r>
        <w:t>Do not create a sixth application database just because a new district is onboarded.</w:t>
      </w:r>
    </w:p>
    <w:sectPr>
      <w:pgSz w:w="11906" w:h="16838"/>
      <w:pgMar w:top="1134" w:right="1134" w:bottom="1134" w:left="1134" w:header="708" w:footer="708"/>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sz w:val="22"/>
        <w:szCs w:val="22"/>
        <w:lang w:val="en-IN"/>
      </w:rPr>
    </w:rPrDefault>
    <w:pPrDefault>
      <w:pPr>
        <w:spacing w:after="160" w:line="276" w:lineRule="auto"/>
      </w:pPr>
    </w:pPrDefault>
  </w:docDefaults>
  <w:style w:type="paragraph" w:default="1" w:styleId="Normal">
    <w:name w:val="Normal"/>
    <w:qFormat/>
  </w:style>
  <w:style w:type="paragraph" w:styleId="Title">
    <w:name w:val="Title"/>
    <w:basedOn w:val="Normal"/>
    <w:qFormat/>
    <w:pPr>
      <w:spacing w:after="80"/>
    </w:pPr>
    <w:rPr>
      <w:b/>
      <w:sz w:val="48"/>
      <w:szCs w:val="48"/>
      <w:color w:val="1F4E79"/>
    </w:rPr>
  </w:style>
  <w:style w:type="paragraph" w:styleId="Subtitle">
    <w:name w:val="Subtitle"/>
    <w:basedOn w:val="Normal"/>
    <w:qFormat/>
    <w:rPr>
      <w:sz w:val="24"/>
      <w:szCs w:val="24"/>
      <w:color w:val="5B7A9D"/>
      <w:i/>
    </w:rPr>
  </w:style>
  <w:style w:type="paragraph" w:styleId="Heading1">
    <w:name w:val="heading 1"/>
    <w:basedOn w:val="Normal"/>
    <w:next w:val="Normal"/>
    <w:uiPriority w:val="9"/>
    <w:qFormat/>
    <w:pPr>
      <w:keepNext/>
      <w:keepLines/>
      <w:spacing w:before="360" w:after="160"/>
      <w:outlineLvl w:val="0"/>
    </w:pPr>
    <w:rPr>
      <w:b/>
      <w:sz w:val="32"/>
      <w:szCs w:val="32"/>
      <w:color w:val="1F4E79"/>
    </w:rPr>
  </w:style>
  <w:style w:type="paragraph" w:styleId="Heading2">
    <w:name w:val="heading 2"/>
    <w:basedOn w:val="Normal"/>
    <w:next w:val="Normal"/>
    <w:uiPriority w:val="9"/>
    <w:qFormat/>
    <w:pPr>
      <w:keepNext/>
      <w:keepLines/>
      <w:spacing w:before="280" w:after="120"/>
      <w:outlineLvl w:val="1"/>
    </w:pPr>
    <w:rPr>
      <w:b/>
      <w:sz w:val="26"/>
      <w:szCs w:val="26"/>
      <w:color w:val="2E75B6"/>
    </w:rPr>
  </w:style>
  <w:style w:type="paragraph" w:styleId="Heading3">
    <w:name w:val="heading 3"/>
    <w:basedOn w:val="Normal"/>
    <w:next w:val="Normal"/>
    <w:uiPriority w:val="9"/>
    <w:qFormat/>
    <w:pPr>
      <w:keepNext/>
      <w:keepLines/>
      <w:spacing w:before="200" w:after="80"/>
      <w:outlineLvl w:val="2"/>
    </w:pPr>
    <w:rPr>
      <w:b/>
      <w:sz w:val="24"/>
      <w:szCs w:val="24"/>
      <w:color w:val="404040"/>
    </w:rPr>
  </w:style>
  <w:style w:type="paragraph" w:styleId="ListBullet">
    <w:name w:val="List Bullet"/>
    <w:basedOn w:val="Normal"/>
    <w:uiPriority w:val="99"/>
  </w:style>
  <w:style w:type="paragraph" w:styleId="ListNumber">
    <w:name w:val="List Number"/>
    <w:basedOn w:val="Normal"/>
    <w:uiPriority w:val="99"/>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District Works Dashboard</Application>
  <DocSecurity>0</DocSecurity>
  <Pages>1</Pages>
  <Company>District Administration</Company>
</Properties>
</file>

<file path=docProps/core.xml><?xml version="1.0" encoding="utf-8"?>
<cp:coreProperties xmlns:cp="http://schemas.openxmlformats.org/package/2006/metadata/core-properties" xmlns:dc="http://purl.org/dc/elements/1.1/" xmlns:dcterms="http://purl.org/dc/terms/" xmlns:xsi="http://www.w3.org/2001/XMLSchema-instance">
  <dc:title>2. Overall Architecture</dc:title>
  <dc:subject>District Development Works Monitoring Dashboard handover</dc:subject>
  <dc:creator>DDWMD project documentation</dc:creator>
  <cp:lastModifiedBy>DDWMD project documentation</cp:lastModifiedBy>
  <dcterms:created xsi:type="dcterms:W3CDTF">2026-09-15T08:16:01Z</dcterms:created>
  <dcterms:modified xsi:type="dcterms:W3CDTF">2026-09-15T08:16:01Z</dcterms:modified>
</cp:coreProperties>
</file>