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265FF4F7" w:rsidR="009303D9" w:rsidRPr="008B6524" w:rsidRDefault="00CD7FB6" w:rsidP="008B6524">
      <w:pPr>
        <w:pStyle w:val="papertitle"/>
        <w:spacing w:before="5pt" w:beforeAutospacing="1" w:after="5pt" w:afterAutospacing="1"/>
        <w:rPr>
          <w:kern w:val="48"/>
        </w:rPr>
      </w:pPr>
      <w:r>
        <w:rPr>
          <w:kern w:val="48"/>
        </w:rPr>
        <w:t xml:space="preserve">Deep </w:t>
      </w:r>
      <w:r w:rsidRPr="00CD7FB6">
        <w:rPr>
          <w:kern w:val="48"/>
        </w:rPr>
        <w:t>Reinforcement Learning-Based Adaptive</w:t>
      </w:r>
      <w:r>
        <w:rPr>
          <w:kern w:val="48"/>
        </w:rPr>
        <w:t xml:space="preserve"> </w:t>
      </w:r>
      <w:r w:rsidRPr="00CD7FB6">
        <w:rPr>
          <w:kern w:val="48"/>
        </w:rPr>
        <w:t>Point Cloud</w:t>
      </w:r>
      <w:r>
        <w:rPr>
          <w:kern w:val="48"/>
        </w:rPr>
        <w:t xml:space="preserve"> Streaming</w:t>
      </w:r>
      <w:r w:rsidRPr="00CD7FB6">
        <w:rPr>
          <w:kern w:val="48"/>
        </w:rPr>
        <w:t xml:space="preserve"> over 5G Networks</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1B2819" w:rsidRPr="00CA4392" w:rsidRDefault="001B2819" w:rsidP="001B2819">
      <w:pPr>
        <w:pStyle w:val="Author"/>
        <w:spacing w:before="5pt" w:beforeAutospacing="1" w:after="5pt" w:afterAutospacing="1" w:line="6pt" w:lineRule="auto"/>
        <w:jc w:val="both"/>
        <w:rPr>
          <w:sz w:val="16"/>
          <w:szCs w:val="16"/>
        </w:rPr>
        <w:sectPr w:rsidR="001B2819" w:rsidRPr="00CA4392" w:rsidSect="003B4E04">
          <w:footerReference w:type="first" r:id="rId8"/>
          <w:pgSz w:w="595.30pt" w:h="841.90pt" w:code="9"/>
          <w:pgMar w:top="27pt" w:right="44.65pt" w:bottom="72pt" w:left="44.65pt" w:header="36pt" w:footer="36pt" w:gutter="0pt"/>
          <w:cols w:space="36pt"/>
          <w:titlePg/>
          <w:docGrid w:linePitch="360"/>
        </w:sectPr>
      </w:pPr>
    </w:p>
    <w:p w14:paraId="11C3FF66" w14:textId="1EFC9661" w:rsidR="001A3B3D" w:rsidRPr="00F847A6" w:rsidRDefault="006F7646" w:rsidP="001B2819">
      <w:pPr>
        <w:pStyle w:val="Author"/>
        <w:spacing w:before="5pt" w:beforeAutospacing="1"/>
        <w:rPr>
          <w:sz w:val="18"/>
          <w:szCs w:val="18"/>
        </w:rPr>
      </w:pPr>
      <w:r>
        <w:rPr>
          <w:sz w:val="18"/>
          <w:szCs w:val="18"/>
        </w:rPr>
        <w:t>Mohammad Amin Mazinani</w:t>
      </w:r>
      <w:r w:rsidR="001A3B3D" w:rsidRPr="00F847A6">
        <w:rPr>
          <w:sz w:val="18"/>
          <w:szCs w:val="18"/>
        </w:rPr>
        <w:t xml:space="preserve"> </w:t>
      </w:r>
      <w:r w:rsidR="001A3B3D" w:rsidRPr="00F847A6">
        <w:rPr>
          <w:sz w:val="18"/>
          <w:szCs w:val="18"/>
        </w:rPr>
        <w:br/>
      </w:r>
      <w:r>
        <w:rPr>
          <w:i/>
          <w:sz w:val="18"/>
          <w:szCs w:val="18"/>
        </w:rPr>
        <w:t>Department of Electrical and Computer Engineering</w:t>
      </w:r>
      <w:r w:rsidR="00D72D06" w:rsidRPr="00F847A6">
        <w:rPr>
          <w:sz w:val="18"/>
          <w:szCs w:val="18"/>
        </w:rPr>
        <w:br/>
      </w:r>
      <w:r w:rsidR="00CA335D">
        <w:rPr>
          <w:i/>
          <w:sz w:val="18"/>
          <w:szCs w:val="18"/>
        </w:rPr>
        <w:t>Tarbiat Modares University</w:t>
      </w:r>
      <w:r w:rsidR="001A3B3D" w:rsidRPr="00F847A6">
        <w:rPr>
          <w:i/>
          <w:sz w:val="18"/>
          <w:szCs w:val="18"/>
        </w:rPr>
        <w:br/>
      </w:r>
      <w:r w:rsidR="00992399">
        <w:rPr>
          <w:sz w:val="18"/>
          <w:szCs w:val="18"/>
        </w:rPr>
        <w:t>Tehran, Iran</w:t>
      </w:r>
      <w:r w:rsidR="001A3B3D" w:rsidRPr="00F847A6">
        <w:rPr>
          <w:sz w:val="18"/>
          <w:szCs w:val="18"/>
        </w:rPr>
        <w:br/>
      </w:r>
      <w:r w:rsidR="00F95F0C">
        <w:rPr>
          <w:sz w:val="18"/>
          <w:szCs w:val="18"/>
        </w:rPr>
        <w:t>m</w:t>
      </w:r>
      <w:r w:rsidR="001B2819" w:rsidRPr="001B2819">
        <w:rPr>
          <w:sz w:val="18"/>
          <w:szCs w:val="18"/>
        </w:rPr>
        <w:t>_mazinani@modares.ac.</w:t>
      </w:r>
      <w:r w:rsidR="001B2819" w:rsidRPr="001B2819">
        <w:rPr>
          <w:sz w:val="18"/>
          <w:szCs w:val="18"/>
          <w:lang w:bidi="fa-IR"/>
        </w:rPr>
        <w:t>ir</w:t>
      </w:r>
      <w:r w:rsidR="001B2819">
        <w:rPr>
          <w:sz w:val="18"/>
          <w:szCs w:val="18"/>
          <w:lang w:bidi="fa-IR"/>
        </w:rPr>
        <w:t xml:space="preserve">               </w:t>
      </w:r>
      <w:r w:rsidR="000E1DD5">
        <w:rPr>
          <w:sz w:val="18"/>
          <w:szCs w:val="18"/>
        </w:rPr>
        <w:t xml:space="preserve"> </w:t>
      </w:r>
      <w:r w:rsidR="001B2819">
        <w:rPr>
          <w:sz w:val="18"/>
          <w:szCs w:val="18"/>
        </w:rPr>
        <w:t xml:space="preserve">Yeghaneh </w:t>
      </w:r>
      <w:r w:rsidR="000E1DD5">
        <w:rPr>
          <w:sz w:val="18"/>
          <w:szCs w:val="18"/>
        </w:rPr>
        <w:t>Chatri</w:t>
      </w:r>
      <w:r w:rsidR="001A3B3D" w:rsidRPr="00F847A6">
        <w:rPr>
          <w:sz w:val="18"/>
          <w:szCs w:val="18"/>
        </w:rPr>
        <w:br/>
      </w:r>
      <w:r w:rsidR="00385E90">
        <w:rPr>
          <w:i/>
          <w:sz w:val="18"/>
          <w:szCs w:val="18"/>
        </w:rPr>
        <w:t>Department of Electrical and Computer Engineering</w:t>
      </w:r>
      <w:r w:rsidR="00385E90" w:rsidRPr="00F847A6">
        <w:rPr>
          <w:sz w:val="18"/>
          <w:szCs w:val="18"/>
        </w:rPr>
        <w:br/>
      </w:r>
      <w:r w:rsidR="00385E90">
        <w:rPr>
          <w:i/>
          <w:sz w:val="18"/>
          <w:szCs w:val="18"/>
        </w:rPr>
        <w:t>Tarbiat Modares University</w:t>
      </w:r>
      <w:r w:rsidR="00385E90" w:rsidRPr="00F847A6">
        <w:rPr>
          <w:i/>
          <w:sz w:val="18"/>
          <w:szCs w:val="18"/>
        </w:rPr>
        <w:br/>
      </w:r>
      <w:r w:rsidR="00385E90">
        <w:rPr>
          <w:sz w:val="18"/>
          <w:szCs w:val="18"/>
        </w:rPr>
        <w:t>Tehran, Iran</w:t>
      </w:r>
      <w:r w:rsidR="00385E90" w:rsidRPr="00F847A6">
        <w:rPr>
          <w:sz w:val="18"/>
          <w:szCs w:val="18"/>
        </w:rPr>
        <w:br/>
      </w:r>
      <w:r w:rsidR="001B2819" w:rsidRPr="001B2819">
        <w:rPr>
          <w:sz w:val="18"/>
          <w:szCs w:val="18"/>
        </w:rPr>
        <w:t>yeganeh.chatri@modares.ac.ir</w:t>
      </w:r>
      <w:r w:rsidR="001B2819">
        <w:rPr>
          <w:sz w:val="18"/>
          <w:szCs w:val="18"/>
        </w:rPr>
        <w:t xml:space="preserve">    </w:t>
      </w:r>
      <w:r w:rsidR="009A6F2E">
        <w:rPr>
          <w:sz w:val="18"/>
          <w:szCs w:val="18"/>
        </w:rPr>
        <w:t>Beh</w:t>
      </w:r>
      <w:r w:rsidR="001C33A0">
        <w:rPr>
          <w:sz w:val="18"/>
          <w:szCs w:val="18"/>
        </w:rPr>
        <w:t>zad Akbari</w:t>
      </w:r>
      <w:r w:rsidR="001A3B3D" w:rsidRPr="00F847A6">
        <w:rPr>
          <w:sz w:val="18"/>
          <w:szCs w:val="18"/>
        </w:rPr>
        <w:br/>
      </w:r>
      <w:r w:rsidR="00B639A7">
        <w:rPr>
          <w:i/>
          <w:sz w:val="18"/>
          <w:szCs w:val="18"/>
        </w:rPr>
        <w:t>Department of Electrical and Computer Engineering</w:t>
      </w:r>
      <w:r w:rsidR="00B639A7" w:rsidRPr="00F847A6">
        <w:rPr>
          <w:sz w:val="18"/>
          <w:szCs w:val="18"/>
        </w:rPr>
        <w:br/>
      </w:r>
      <w:r w:rsidR="00B639A7">
        <w:rPr>
          <w:i/>
          <w:sz w:val="18"/>
          <w:szCs w:val="18"/>
        </w:rPr>
        <w:t>Tarbiat Modares University</w:t>
      </w:r>
      <w:r w:rsidR="00B639A7" w:rsidRPr="00F847A6">
        <w:rPr>
          <w:i/>
          <w:sz w:val="18"/>
          <w:szCs w:val="18"/>
        </w:rPr>
        <w:br/>
      </w:r>
      <w:r w:rsidR="00B639A7">
        <w:rPr>
          <w:sz w:val="18"/>
          <w:szCs w:val="18"/>
        </w:rPr>
        <w:t>Tehran, Iran</w:t>
      </w:r>
      <w:r w:rsidR="001A3B3D" w:rsidRPr="00F847A6">
        <w:rPr>
          <w:sz w:val="18"/>
          <w:szCs w:val="18"/>
        </w:rPr>
        <w:br/>
      </w:r>
      <w:r w:rsidR="00B639A7" w:rsidRPr="00B639A7">
        <w:rPr>
          <w:sz w:val="18"/>
          <w:szCs w:val="18"/>
        </w:rPr>
        <w:t>b.akbari@modares.ac.ir</w:t>
      </w:r>
    </w:p>
    <w:p w14:paraId="0316535E" w14:textId="77777777" w:rsidR="00F7135B" w:rsidRDefault="00F7135B" w:rsidP="00F7135B">
      <w:pPr>
        <w:jc w:val="both"/>
        <w:sectPr w:rsidR="00F7135B"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0A1A8E36" w:rsidR="004D72B5" w:rsidRDefault="009303D9" w:rsidP="00DC69E5">
      <w:pPr>
        <w:pStyle w:val="Abstract"/>
        <w:ind w:firstLine="13.70pt"/>
        <w:rPr>
          <w:i/>
          <w:iCs/>
        </w:rPr>
      </w:pPr>
      <w:r>
        <w:rPr>
          <w:i/>
          <w:iCs/>
        </w:rPr>
        <w:t>Abstract</w:t>
      </w:r>
      <w:r>
        <w:t>—</w:t>
      </w:r>
      <w:r w:rsidR="00506694" w:rsidRPr="00506694">
        <w:t xml:space="preserve">High-quality point clouds enable immersive volumetric media, but their extreme bandwidth demands make adaptive streaming over mobile networks an open challenge. This paper presents a learning-based adaptive bitrate (ABR) controller for point cloud streaming. Four sequences of the 8i </w:t>
      </w:r>
      <w:proofErr w:type="spellStart"/>
      <w:r w:rsidR="00506694" w:rsidRPr="00506694">
        <w:t>Voxelized</w:t>
      </w:r>
      <w:proofErr w:type="spellEnd"/>
      <w:r w:rsidR="00506694" w:rsidRPr="00506694">
        <w:t xml:space="preserve"> Full Bodies dataset are encoded with the MPEG Geometry-based Point Cloud Compression (G-PCC) reference codec into a six-tier quality ladder and streamed as DASH-style segments over a trace-driven 5G simulator built from a public Irish 5G dataset with its measured 72 </w:t>
      </w:r>
      <w:proofErr w:type="spellStart"/>
      <w:r w:rsidR="00506694" w:rsidRPr="00506694">
        <w:t>ms</w:t>
      </w:r>
      <w:proofErr w:type="spellEnd"/>
      <w:r w:rsidR="00506694" w:rsidRPr="00506694">
        <w:t xml:space="preserve"> round-trip time. Per-frame fetching cannot sustain 30 frames per second at this latency; a segment-size sweep shows a quality-of-experience (</w:t>
      </w:r>
      <w:proofErr w:type="spellStart"/>
      <w:r w:rsidR="00506694" w:rsidRPr="00506694">
        <w:t>QoE</w:t>
      </w:r>
      <w:proofErr w:type="spellEnd"/>
      <w:r w:rsidR="00506694" w:rsidRPr="00506694">
        <w:t xml:space="preserve">) peak at ten frames per request, which the final system adopts together with request pacing that admits a segment only when it fits the client buffer. A Double Deep Q-Network agent is trained with the same five-term objective used for evaluation—normalized quality minus stall duration, rebuffering-event frequency, segment-quality changes, and startup delay—so that its discounted return equals the reported </w:t>
      </w:r>
      <w:proofErr w:type="spellStart"/>
      <w:r w:rsidR="00506694" w:rsidRPr="00506694">
        <w:t>QoE</w:t>
      </w:r>
      <w:proofErr w:type="spellEnd"/>
      <w:r w:rsidR="00506694" w:rsidRPr="00506694">
        <w:t xml:space="preserve"> exactly. On a registered, once-only test split of four held-out traces evaluated across all four sequences, the learned policy reaches a </w:t>
      </w:r>
      <w:proofErr w:type="spellStart"/>
      <w:r w:rsidR="00506694" w:rsidRPr="00506694">
        <w:t>QoE</w:t>
      </w:r>
      <w:proofErr w:type="spellEnd"/>
      <w:r w:rsidR="00506694" w:rsidRPr="00506694">
        <w:t xml:space="preserve"> of 49.9, improving on the buffer-based and model-predictive-control (MPC) baselines by about 9 percent and on the best fixed-quality arm by 59 percent, and it wins 83 percent of matched scenarios against MPC. Across twelve training seeds the test </w:t>
      </w:r>
      <w:proofErr w:type="spellStart"/>
      <w:r w:rsidR="00506694" w:rsidRPr="00506694">
        <w:t>QoE</w:t>
      </w:r>
      <w:proofErr w:type="spellEnd"/>
      <w:r w:rsidR="00506694" w:rsidRPr="00506694">
        <w:t xml:space="preserve"> holds at 49.9 ± 0.95.</w:t>
      </w:r>
    </w:p>
    <w:p w14:paraId="58B10678" w14:textId="1F6A8912" w:rsidR="009303D9" w:rsidRPr="004D72B5" w:rsidRDefault="004D72B5" w:rsidP="00972203">
      <w:pPr>
        <w:pStyle w:val="Keywords"/>
      </w:pPr>
      <w:r w:rsidRPr="004D72B5">
        <w:t>Keywords—</w:t>
      </w:r>
      <w:r w:rsidR="00506694" w:rsidRPr="00506694">
        <w:t>point cloud streaming, adaptive bitrate, deep reinforcement learning, G-PCC, MPEG-DASH, 5G, quality of experience</w:t>
      </w:r>
    </w:p>
    <w:p w14:paraId="1A521F3C" w14:textId="0825A6DE" w:rsidR="009303D9" w:rsidRPr="00D632BE" w:rsidRDefault="009303D9" w:rsidP="006B6B66">
      <w:pPr>
        <w:pStyle w:val="Heading1"/>
      </w:pPr>
      <w:r w:rsidRPr="00D632BE">
        <w:t xml:space="preserve">Introduction </w:t>
      </w:r>
    </w:p>
    <w:p w14:paraId="0C011935" w14:textId="77777777" w:rsidR="00DC69E5" w:rsidRDefault="00DC69E5" w:rsidP="00DC69E5">
      <w:pPr>
        <w:pStyle w:val="BodyText"/>
        <w:rPr>
          <w:lang w:val="en-US"/>
        </w:rPr>
      </w:pPr>
      <w:r w:rsidRPr="00DC69E5">
        <w:rPr>
          <w:lang w:val="en-US"/>
        </w:rPr>
        <w:t>Immersive volumetric media, such as holographic telepresence and augmented reality, are among the flagship services envisioned for 5G networks and beyond. Dynamic 3D point clouds are a natural representation for such media: each frame is a set of colored points that can be rendered from any viewpoint. Uncompressed, a single high-quality human-body sequence at 30 frames per second (fps) can exceed 6 Gbit/s [2]. Even after compression with the MPEG Geometry-based Point Cloud Compression standard (G-PCC) [4], [5], the highest quality tier used in this work requires 102.4 Mbit/s, which a mobile 5G link can deliver on average but not at every instant.</w:t>
      </w:r>
    </w:p>
    <w:p w14:paraId="738DFB59" w14:textId="77777777" w:rsidR="00DC69E5" w:rsidRDefault="00DC69E5" w:rsidP="00DC69E5">
      <w:pPr>
        <w:pStyle w:val="BodyText"/>
        <w:rPr>
          <w:lang w:val="en-US"/>
        </w:rPr>
      </w:pPr>
      <w:r w:rsidRPr="00DC69E5">
        <w:rPr>
          <w:lang w:val="en-US"/>
        </w:rPr>
        <w:t xml:space="preserve">Dynamic Adaptive Streaming over HTTP (DASH) [1] addresses throughput variability by encoding content at multiple quality levels and letting the client select a level per segment. Hosseini and Timmerer extended this concept to point clouds with DASH-PC [3], using spatial sub-sampling to generate density representations. Their adaptation logic, like most deployed ABR schemes, is rule-based. For video, learning-based controllers such as </w:t>
      </w:r>
      <w:proofErr w:type="spellStart"/>
      <w:r w:rsidRPr="00DC69E5">
        <w:rPr>
          <w:lang w:val="en-US"/>
        </w:rPr>
        <w:t>Pensieve</w:t>
      </w:r>
      <w:proofErr w:type="spellEnd"/>
      <w:r w:rsidRPr="00DC69E5">
        <w:rPr>
          <w:lang w:val="en-US"/>
        </w:rPr>
        <w:t xml:space="preserve"> [6] have shown </w:t>
      </w:r>
    </w:p>
    <w:p w14:paraId="547EFC26" w14:textId="44504218" w:rsidR="00DC69E5" w:rsidRDefault="00DC69E5" w:rsidP="00DC69E5">
      <w:pPr>
        <w:pStyle w:val="BodyText"/>
        <w:ind w:firstLine="0pt"/>
        <w:rPr>
          <w:lang w:val="en-US"/>
        </w:rPr>
      </w:pPr>
      <w:r w:rsidRPr="00DC69E5">
        <w:rPr>
          <w:lang w:val="en-US"/>
        </w:rPr>
        <w:t>that a policy trained with reinforcement learning (RL) can outperform hand-crafted rules. This idea is now being carried into volumetric media: recent work applies deep RL to real-time volumetric video streaming through rolling prediction-and-optimization [13] and to perceptual-quality-aware volumetric adaptation [14], while the broader shift toward learning-based adaptive streaming is charted in a recent tutorial and survey [15]. Applying it specifically to standard G-PCC point cloud streaming, however, raises challenges these works do not jointly address: the rate ladder spans two orders of magnitude, perceived quality is governed by point density and coding rate rather than pixel fidelity, and the interaction between the 5G round-trip time (RTT) and the request granularity determines whether stall-free playback is possible at all.</w:t>
      </w:r>
    </w:p>
    <w:p w14:paraId="71A18A8B" w14:textId="60CD8762" w:rsidR="00DC69E5" w:rsidRDefault="00DC69E5" w:rsidP="00DC69E5">
      <w:pPr>
        <w:pStyle w:val="BodyText"/>
        <w:rPr>
          <w:lang w:val="en-US"/>
        </w:rPr>
      </w:pPr>
      <w:r w:rsidRPr="00DC69E5">
        <w:rPr>
          <w:lang w:val="en-US"/>
        </w:rPr>
        <w:t xml:space="preserve">This paper makes four contributions. First, a complete open simulation pipeline that streams real G-PCC bitstreams (six-tier ladder, four 8i </w:t>
      </w:r>
      <w:proofErr w:type="spellStart"/>
      <w:r w:rsidRPr="00DC69E5">
        <w:rPr>
          <w:lang w:val="en-US"/>
        </w:rPr>
        <w:t>Voxelized</w:t>
      </w:r>
      <w:proofErr w:type="spellEnd"/>
      <w:r w:rsidRPr="00DC69E5">
        <w:rPr>
          <w:lang w:val="en-US"/>
        </w:rPr>
        <w:t xml:space="preserve"> Full Bodies sequences [2]) over a trace-driven 5G channel with a TCP model whose serialization time is the exact integral of the measured time-varying capacity. Second, a quantitative analysis of segment size: per-frame fetching is round-trip-time (RTT) bound, and the measured </w:t>
      </w:r>
      <w:proofErr w:type="spellStart"/>
      <w:r w:rsidRPr="00DC69E5">
        <w:rPr>
          <w:lang w:val="en-US"/>
        </w:rPr>
        <w:t>QoE</w:t>
      </w:r>
      <w:proofErr w:type="spellEnd"/>
      <w:r w:rsidRPr="00DC69E5">
        <w:rPr>
          <w:lang w:val="en-US"/>
        </w:rPr>
        <w:t xml:space="preserve"> peaks at ten frames per request before larger segments react too slowly to fades. Third, a Double Deep Q-Network (DQN) [10] ABR agent trained on a quality-aware reward whose discounted return is, by construction, identical to the reported </w:t>
      </w:r>
      <w:proofErr w:type="spellStart"/>
      <w:r w:rsidRPr="00DC69E5">
        <w:rPr>
          <w:lang w:val="en-US"/>
        </w:rPr>
        <w:t>QoE</w:t>
      </w:r>
      <w:proofErr w:type="spellEnd"/>
      <w:r w:rsidRPr="00DC69E5">
        <w:rPr>
          <w:lang w:val="en-US"/>
        </w:rPr>
        <w:t xml:space="preserve"> metric. Fourth, a robust 12-seed evaluation on a registered, once-only test split in which the learned policy beats a buffer-based controller and an MPC controller by about 9 percent </w:t>
      </w:r>
      <w:proofErr w:type="spellStart"/>
      <w:r w:rsidRPr="00DC69E5">
        <w:rPr>
          <w:lang w:val="en-US"/>
        </w:rPr>
        <w:t>QoE</w:t>
      </w:r>
      <w:proofErr w:type="spellEnd"/>
      <w:r w:rsidRPr="00DC69E5">
        <w:rPr>
          <w:lang w:val="en-US"/>
        </w:rPr>
        <w:t xml:space="preserve"> and the best fixed arm by 59 percent, with a 12-seed standard deviation below 1 and an 83 percent per-scenario win rate against MPC.</w:t>
      </w:r>
    </w:p>
    <w:p w14:paraId="179EA777" w14:textId="2311867B" w:rsidR="009303D9" w:rsidRPr="006B6B66" w:rsidRDefault="00DC69E5" w:rsidP="00DC69E5">
      <w:pPr>
        <w:pStyle w:val="Heading1"/>
      </w:pPr>
      <w:r w:rsidRPr="00DC69E5">
        <w:t>Related Work</w:t>
      </w:r>
    </w:p>
    <w:p w14:paraId="3C8B3FFF" w14:textId="6DDCC685" w:rsidR="009303D9" w:rsidRDefault="00DC69E5" w:rsidP="00ED0149">
      <w:pPr>
        <w:pStyle w:val="Heading2"/>
      </w:pPr>
      <w:r w:rsidRPr="00DC69E5">
        <w:t>Point cloud compression and streaming</w:t>
      </w:r>
    </w:p>
    <w:p w14:paraId="4522E337" w14:textId="57AEA8E6" w:rsidR="009303D9" w:rsidRPr="005B520E" w:rsidRDefault="00DC69E5" w:rsidP="00E7596C">
      <w:pPr>
        <w:pStyle w:val="BodyText"/>
      </w:pPr>
      <w:r w:rsidRPr="00DC69E5">
        <w:t xml:space="preserve">MPEG standardized two point cloud codecs: V-PCC, which projects the cloud onto video planes, and G-PCC, which codes geometry directly with octrees and attributes with hierarchical transforms [4], [5]. G-PCC exposes rate control through the geometry position quantization scale and the attribute quantization parameter (QP); it has no target-bitrate mode, so a bitrate ladder must be built from parameter pairs. DASH-PC [3] pioneered manifest-driven adaptive point cloud streaming with density sub-sampling. Van der Hooft et al. proposed PCC-DASH [8], rate-adapting V-PCC streams with heuristic policies. More recent volumetric streaming systems have begun to adopt learned adaptation [13], [14], though typically for V-PCC or mesh-based content and often with viewport or field-of-view assumptions. Our work differs by using standard G-PCC bitstreams, by replacing heuristic </w:t>
      </w:r>
      <w:r w:rsidRPr="00DC69E5">
        <w:lastRenderedPageBreak/>
        <w:t xml:space="preserve">adaptation with a learned policy, and by making the training reward identical to the reported </w:t>
      </w:r>
      <w:proofErr w:type="spellStart"/>
      <w:r w:rsidRPr="00DC69E5">
        <w:t>QoE</w:t>
      </w:r>
      <w:proofErr w:type="spellEnd"/>
      <w:r w:rsidRPr="00DC69E5">
        <w:t>.</w:t>
      </w:r>
    </w:p>
    <w:p w14:paraId="66739D0E" w14:textId="2DD59C54" w:rsidR="009303D9" w:rsidRPr="005B520E" w:rsidRDefault="00DC69E5" w:rsidP="00ED0149">
      <w:pPr>
        <w:pStyle w:val="Heading2"/>
      </w:pPr>
      <w:r w:rsidRPr="00DC69E5">
        <w:t>Learning-based bitrate adaptation</w:t>
      </w:r>
    </w:p>
    <w:p w14:paraId="7C5D0763" w14:textId="4F982988" w:rsidR="009303D9" w:rsidRDefault="00DC69E5" w:rsidP="00E7596C">
      <w:pPr>
        <w:pStyle w:val="BodyText"/>
      </w:pPr>
      <w:r w:rsidRPr="00DC69E5">
        <w:t xml:space="preserve">Rule-based ABR uses throughput estimates [7] or buffer occupancy; </w:t>
      </w:r>
      <w:proofErr w:type="spellStart"/>
      <w:r w:rsidRPr="00DC69E5">
        <w:t>Pensieve</w:t>
      </w:r>
      <w:proofErr w:type="spellEnd"/>
      <w:r w:rsidRPr="00DC69E5">
        <w:t xml:space="preserve"> [6] showed that an RL policy trained in simulation generalizes across network conditions and outperforms such rules for 2D video. Its reward, quality minus rebuffering and quality switching, has become standard, and recent surveys track the rapid extension of learning-based adaptation to sustainable, energy-aware, and volumetric settings [15]. We adopt this structure, distinguish rebuffering duration from event frequency, replace the quality term with a log-bitrate utility suited to the two-orders-of-magnitude G-PCC ladder, and add a startup-delay cost. We compare the learned policy against two strong causal baselines used across the ABR literature: a buffer-occupancy controller in the style of BBA [12] and a short-horizon MPC controller in the style of </w:t>
      </w:r>
      <w:proofErr w:type="spellStart"/>
      <w:r w:rsidRPr="00DC69E5">
        <w:t>RobustMPC</w:t>
      </w:r>
      <w:proofErr w:type="spellEnd"/>
      <w:r w:rsidRPr="00DC69E5">
        <w:t xml:space="preserve"> [7].</w:t>
      </w:r>
    </w:p>
    <w:p w14:paraId="53E3D451" w14:textId="22ACB4F4" w:rsidR="00DC69E5" w:rsidRDefault="00DC69E5" w:rsidP="00DC69E5">
      <w:pPr>
        <w:pStyle w:val="Heading2"/>
      </w:pPr>
      <w:r w:rsidRPr="00DC69E5">
        <w:t>5G measurement datasets</w:t>
      </w:r>
    </w:p>
    <w:p w14:paraId="47F7397F" w14:textId="77777777" w:rsidR="00DC69E5" w:rsidRPr="00DC69E5" w:rsidRDefault="00DC69E5" w:rsidP="00DC69E5">
      <w:pPr>
        <w:ind w:firstLine="14.40pt"/>
        <w:jc w:val="both"/>
      </w:pPr>
      <w:r w:rsidRPr="00DC69E5">
        <w:t xml:space="preserve">Raca et al. published a 5G dataset with throughput, latency, and context metrics collected on a commercial Irish network [9]. We use its saturated-download traces as the access-link capacity signal and its measured ping (median 72 </w:t>
      </w:r>
      <w:proofErr w:type="spellStart"/>
      <w:r w:rsidRPr="00DC69E5">
        <w:t>ms</w:t>
      </w:r>
      <w:proofErr w:type="spellEnd"/>
      <w:r w:rsidRPr="00DC69E5">
        <w:t xml:space="preserve"> in 5G mode) as the RTT, rather than assuming idealized values.</w:t>
      </w:r>
    </w:p>
    <w:p w14:paraId="0B187E7E" w14:textId="77777777" w:rsidR="00DC69E5" w:rsidRPr="00DC69E5" w:rsidRDefault="00DC69E5" w:rsidP="00DC69E5">
      <w:pPr>
        <w:jc w:val="both"/>
      </w:pPr>
    </w:p>
    <w:p w14:paraId="72638FCA" w14:textId="41F6A893" w:rsidR="00DC69E5" w:rsidRDefault="00DC69E5" w:rsidP="00DC69E5">
      <w:pPr>
        <w:pStyle w:val="Heading1"/>
      </w:pPr>
      <w:r w:rsidRPr="00DC69E5">
        <w:t>System Model</w:t>
      </w:r>
    </w:p>
    <w:p w14:paraId="32D70525" w14:textId="42648EF1" w:rsidR="00DC69E5" w:rsidRPr="00DC69E5" w:rsidRDefault="00DC69E5" w:rsidP="00DC69E5">
      <w:pPr>
        <w:pStyle w:val="Heading2"/>
      </w:pPr>
      <w:r w:rsidRPr="00DC69E5">
        <w:t>Architecture</w:t>
      </w:r>
    </w:p>
    <w:p w14:paraId="21C51E20" w14:textId="229D2410" w:rsidR="009303D9" w:rsidRPr="005B520E" w:rsidRDefault="00DC69E5" w:rsidP="00E7596C">
      <w:pPr>
        <w:pStyle w:val="BodyText"/>
      </w:pPr>
      <w:r w:rsidRPr="00DC69E5">
        <w:t>Fig. 1 shows the system. Four 8iVFBv2 sequences (</w:t>
      </w:r>
      <w:proofErr w:type="spellStart"/>
      <w:r w:rsidRPr="00DC69E5">
        <w:t>longdress</w:t>
      </w:r>
      <w:proofErr w:type="spellEnd"/>
      <w:r w:rsidRPr="00DC69E5">
        <w:t xml:space="preserve">, loot, </w:t>
      </w:r>
      <w:proofErr w:type="spellStart"/>
      <w:r w:rsidRPr="00DC69E5">
        <w:t>redandblack</w:t>
      </w:r>
      <w:proofErr w:type="spellEnd"/>
      <w:r w:rsidRPr="00DC69E5">
        <w:t>, soldier; 300 frames, 30 fps) are encoded offline by the G-PCC reference encoder (TMC13) into six representations and stored on a content server together with a DASH-style media presentation description (MPD). An edge node fetches segments from the server across an unconstrained backhaul and serves the client over the bottleneck 5G access link. The client runs the ABR controller: it observes only its playback buffer and the achieved throughput of completed downloads (never the true link capacity) and requests one segment of S consecutive frames per decision.</w:t>
      </w:r>
    </w:p>
    <w:p w14:paraId="22217789" w14:textId="77191D06" w:rsidR="009303D9" w:rsidRDefault="00DC69E5" w:rsidP="00ED0149">
      <w:pPr>
        <w:pStyle w:val="Heading2"/>
      </w:pPr>
      <w:r w:rsidRPr="00DC69E5">
        <w:t>Content and quality ladder</w:t>
      </w:r>
    </w:p>
    <w:p w14:paraId="49062033" w14:textId="77777777" w:rsidR="00DC69E5" w:rsidRDefault="00DC69E5" w:rsidP="00DC69E5">
      <w:pPr>
        <w:ind w:firstLine="14.40pt"/>
        <w:jc w:val="both"/>
        <w:rPr>
          <w:spacing w:val="-1"/>
          <w:lang w:val="x-none" w:eastAsia="x-none"/>
        </w:rPr>
      </w:pPr>
      <w:r w:rsidRPr="00DC69E5">
        <w:rPr>
          <w:spacing w:val="-1"/>
          <w:lang w:val="x-none" w:eastAsia="x-none"/>
        </w:rPr>
        <w:t>Table I lists the ladder. Geometry follows the MPEG common test condition rate points (position quantization scale 1.0 down to 0.125) paired with attribute QP 22 to 51. The simulator transfers the exact coded size of every frame, so all results reflect real G-PCC rate characteristics.</w:t>
      </w:r>
    </w:p>
    <w:p w14:paraId="63446A1E" w14:textId="3F8DC3EB" w:rsidR="00D11748" w:rsidRDefault="00D11748" w:rsidP="00D11748">
      <w:pPr>
        <w:ind w:firstLine="14.40pt"/>
        <w:jc w:val="both"/>
        <w:rPr>
          <w:spacing w:val="-1"/>
          <w:lang w:eastAsia="x-none"/>
        </w:rPr>
      </w:pPr>
      <w:r w:rsidRPr="00D11748">
        <w:rPr>
          <w:spacing w:val="-1"/>
          <w:lang w:eastAsia="x-none"/>
        </w:rPr>
        <w:t>Perceived quality is modeled as a normalized log-bitrate utility, reflecting the diminishing perceptual return of higher rate points on a ladder that spans two orders of magnitude:</w:t>
      </w:r>
    </w:p>
    <w:p w14:paraId="47C3BC00" w14:textId="77777777" w:rsidR="003F07B6" w:rsidRDefault="003F07B6" w:rsidP="003F07B6">
      <w:pPr>
        <w:jc w:val="both"/>
        <w:rPr>
          <w:spacing w:val="-1"/>
          <w:lang w:eastAsia="x-none"/>
        </w:rPr>
      </w:pPr>
    </w:p>
    <w:p w14:paraId="57D3BBB1" w14:textId="7F5D45FA" w:rsidR="00F859AF" w:rsidRPr="003F07B6" w:rsidRDefault="00F916D4" w:rsidP="003F07B6">
      <w:pPr>
        <w:jc w:val="both"/>
        <w:rPr>
          <w:spacing w:val="-1"/>
          <w:lang w:eastAsia="x-none"/>
        </w:rPr>
      </w:pPr>
      <m:oMathPara>
        <m:oMath>
          <m:r>
            <w:rPr>
              <w:rFonts w:ascii="Cambria Math" w:hAnsi="Cambria Math"/>
              <w:spacing w:val="-1"/>
              <w:lang w:eastAsia="x-none"/>
            </w:rPr>
            <m:t xml:space="preserve">                       Q</m:t>
          </m:r>
          <m:d>
            <m:dPr>
              <m:ctrlPr>
                <w:rPr>
                  <w:rFonts w:ascii="Cambria Math" w:hAnsi="Cambria Math"/>
                  <w:i/>
                  <w:spacing w:val="-1"/>
                  <w:lang w:eastAsia="x-none"/>
                </w:rPr>
              </m:ctrlPr>
            </m:dPr>
            <m:e>
              <m:r>
                <w:rPr>
                  <w:rFonts w:ascii="Cambria Math" w:hAnsi="Cambria Math"/>
                  <w:spacing w:val="-1"/>
                  <w:lang w:eastAsia="x-none"/>
                </w:rPr>
                <m:t>r</m:t>
              </m:r>
            </m:e>
          </m:d>
          <m:r>
            <w:rPr>
              <w:rFonts w:ascii="Cambria Math" w:hAnsi="Cambria Math"/>
              <w:spacing w:val="-1"/>
              <w:lang w:eastAsia="x-none"/>
            </w:rPr>
            <m:t>=</m:t>
          </m:r>
          <m:f>
            <m:fPr>
              <m:ctrlPr>
                <w:rPr>
                  <w:rFonts w:ascii="Cambria Math" w:hAnsi="Cambria Math"/>
                  <w:i/>
                  <w:spacing w:val="-1"/>
                  <w:lang w:eastAsia="x-none"/>
                </w:rPr>
              </m:ctrlPr>
            </m:fPr>
            <m:num>
              <m:d>
                <m:dPr>
                  <m:begChr m:val="["/>
                  <m:endChr m:val="]"/>
                  <m:ctrlPr>
                    <w:rPr>
                      <w:rFonts w:ascii="Cambria Math" w:hAnsi="Cambria Math"/>
                      <w:i/>
                      <w:spacing w:val="-1"/>
                      <w:lang w:eastAsia="x-none"/>
                    </w:rPr>
                  </m:ctrlPr>
                </m:dPr>
                <m:e>
                  <m:func>
                    <m:funcPr>
                      <m:ctrlPr>
                        <w:rPr>
                          <w:rFonts w:ascii="Cambria Math" w:hAnsi="Cambria Math"/>
                          <w:i/>
                          <w:spacing w:val="-1"/>
                          <w:lang w:eastAsia="x-none"/>
                        </w:rPr>
                      </m:ctrlPr>
                    </m:funcPr>
                    <m:fName>
                      <m:r>
                        <m:rPr>
                          <m:sty m:val="p"/>
                        </m:rPr>
                        <w:rPr>
                          <w:rFonts w:ascii="Cambria Math" w:hAnsi="Cambria Math"/>
                          <w:spacing w:val="-1"/>
                          <w:lang w:eastAsia="x-none"/>
                        </w:rPr>
                        <m:t>log</m:t>
                      </m:r>
                    </m:fName>
                    <m:e>
                      <m:r>
                        <w:rPr>
                          <w:rFonts w:ascii="Cambria Math" w:hAnsi="Cambria Math"/>
                          <w:spacing w:val="-1"/>
                          <w:lang w:eastAsia="x-none"/>
                        </w:rPr>
                        <m:t>B</m:t>
                      </m:r>
                      <m:d>
                        <m:dPr>
                          <m:ctrlPr>
                            <w:rPr>
                              <w:rFonts w:ascii="Cambria Math" w:hAnsi="Cambria Math"/>
                              <w:i/>
                              <w:spacing w:val="-1"/>
                              <w:lang w:eastAsia="x-none"/>
                            </w:rPr>
                          </m:ctrlPr>
                        </m:dPr>
                        <m:e>
                          <m:r>
                            <w:rPr>
                              <w:rFonts w:ascii="Cambria Math" w:hAnsi="Cambria Math"/>
                              <w:spacing w:val="-1"/>
                              <w:lang w:eastAsia="x-none"/>
                            </w:rPr>
                            <m:t>r</m:t>
                          </m:r>
                        </m:e>
                      </m:d>
                      <m:r>
                        <w:rPr>
                          <w:rFonts w:ascii="Cambria Math" w:hAnsi="Cambria Math"/>
                          <w:spacing w:val="-1"/>
                          <w:lang w:eastAsia="x-none"/>
                        </w:rPr>
                        <m:t>-</m:t>
                      </m:r>
                      <m:func>
                        <m:funcPr>
                          <m:ctrlPr>
                            <w:rPr>
                              <w:rFonts w:ascii="Cambria Math" w:hAnsi="Cambria Math"/>
                              <w:spacing w:val="-1"/>
                              <w:lang w:eastAsia="x-none"/>
                            </w:rPr>
                          </m:ctrlPr>
                        </m:funcPr>
                        <m:fName>
                          <m:r>
                            <m:rPr>
                              <m:sty m:val="p"/>
                            </m:rPr>
                            <w:rPr>
                              <w:rFonts w:ascii="Cambria Math" w:hAnsi="Cambria Math"/>
                              <w:spacing w:val="-1"/>
                              <w:lang w:eastAsia="x-none"/>
                            </w:rPr>
                            <m:t>log</m:t>
                          </m:r>
                        </m:fName>
                        <m:e>
                          <m:sSub>
                            <m:sSubPr>
                              <m:ctrlPr>
                                <w:rPr>
                                  <w:rFonts w:ascii="Cambria Math" w:hAnsi="Cambria Math"/>
                                  <w:i/>
                                  <w:spacing w:val="-1"/>
                                  <w:lang w:eastAsia="x-none"/>
                                </w:rPr>
                              </m:ctrlPr>
                            </m:sSubPr>
                            <m:e>
                              <m:r>
                                <w:rPr>
                                  <w:rFonts w:ascii="Cambria Math" w:hAnsi="Cambria Math"/>
                                  <w:spacing w:val="-1"/>
                                  <w:lang w:eastAsia="x-none"/>
                                </w:rPr>
                                <m:t>B</m:t>
                              </m:r>
                            </m:e>
                            <m:sub>
                              <m:r>
                                <w:rPr>
                                  <w:rFonts w:ascii="Cambria Math" w:hAnsi="Cambria Math"/>
                                  <w:spacing w:val="-1"/>
                                  <w:lang w:eastAsia="x-none"/>
                                </w:rPr>
                                <m:t>min</m:t>
                              </m:r>
                            </m:sub>
                          </m:sSub>
                        </m:e>
                      </m:func>
                    </m:e>
                  </m:func>
                </m:e>
              </m:d>
            </m:num>
            <m:den>
              <m:d>
                <m:dPr>
                  <m:begChr m:val="["/>
                  <m:endChr m:val="]"/>
                  <m:ctrlPr>
                    <w:rPr>
                      <w:rFonts w:ascii="Cambria Math" w:hAnsi="Cambria Math"/>
                      <w:i/>
                      <w:spacing w:val="-1"/>
                      <w:lang w:eastAsia="x-none"/>
                    </w:rPr>
                  </m:ctrlPr>
                </m:dPr>
                <m:e>
                  <m:func>
                    <m:funcPr>
                      <m:ctrlPr>
                        <w:rPr>
                          <w:rFonts w:ascii="Cambria Math" w:hAnsi="Cambria Math"/>
                          <w:spacing w:val="-1"/>
                          <w:lang w:eastAsia="x-none"/>
                        </w:rPr>
                      </m:ctrlPr>
                    </m:funcPr>
                    <m:fName>
                      <m:r>
                        <m:rPr>
                          <m:sty m:val="p"/>
                        </m:rPr>
                        <w:rPr>
                          <w:rFonts w:ascii="Cambria Math" w:hAnsi="Cambria Math"/>
                          <w:spacing w:val="-1"/>
                          <w:lang w:eastAsia="x-none"/>
                        </w:rPr>
                        <m:t>log</m:t>
                      </m:r>
                    </m:fName>
                    <m:e>
                      <m:sSub>
                        <m:sSubPr>
                          <m:ctrlPr>
                            <w:rPr>
                              <w:rFonts w:ascii="Cambria Math" w:hAnsi="Cambria Math"/>
                              <w:i/>
                              <w:spacing w:val="-1"/>
                              <w:lang w:eastAsia="x-none"/>
                            </w:rPr>
                          </m:ctrlPr>
                        </m:sSubPr>
                        <m:e>
                          <m:r>
                            <w:rPr>
                              <w:rFonts w:ascii="Cambria Math" w:hAnsi="Cambria Math"/>
                              <w:spacing w:val="-1"/>
                              <w:lang w:eastAsia="x-none"/>
                            </w:rPr>
                            <m:t>B</m:t>
                          </m:r>
                        </m:e>
                        <m:sub>
                          <m:r>
                            <w:rPr>
                              <w:rFonts w:ascii="Cambria Math" w:hAnsi="Cambria Math"/>
                              <w:spacing w:val="-1"/>
                              <w:lang w:eastAsia="x-none"/>
                            </w:rPr>
                            <m:t>max</m:t>
                          </m:r>
                        </m:sub>
                      </m:sSub>
                    </m:e>
                  </m:func>
                  <m:r>
                    <w:rPr>
                      <w:rFonts w:ascii="Cambria Math" w:hAnsi="Cambria Math"/>
                      <w:spacing w:val="-1"/>
                      <w:lang w:eastAsia="x-none"/>
                    </w:rPr>
                    <m:t>-</m:t>
                  </m:r>
                  <m:func>
                    <m:funcPr>
                      <m:ctrlPr>
                        <w:rPr>
                          <w:rFonts w:ascii="Cambria Math" w:hAnsi="Cambria Math"/>
                          <w:i/>
                          <w:spacing w:val="-1"/>
                          <w:lang w:eastAsia="x-none"/>
                        </w:rPr>
                      </m:ctrlPr>
                    </m:funcPr>
                    <m:fName>
                      <m:r>
                        <m:rPr>
                          <m:sty m:val="p"/>
                        </m:rPr>
                        <w:rPr>
                          <w:rFonts w:ascii="Cambria Math" w:hAnsi="Cambria Math"/>
                          <w:spacing w:val="-1"/>
                          <w:lang w:eastAsia="x-none"/>
                        </w:rPr>
                        <m:t>log</m:t>
                      </m:r>
                    </m:fName>
                    <m:e>
                      <m:sSub>
                        <m:sSubPr>
                          <m:ctrlPr>
                            <w:rPr>
                              <w:rFonts w:ascii="Cambria Math" w:hAnsi="Cambria Math"/>
                              <w:i/>
                              <w:spacing w:val="-1"/>
                              <w:lang w:eastAsia="x-none"/>
                            </w:rPr>
                          </m:ctrlPr>
                        </m:sSubPr>
                        <m:e>
                          <m:r>
                            <w:rPr>
                              <w:rFonts w:ascii="Cambria Math" w:hAnsi="Cambria Math"/>
                              <w:spacing w:val="-1"/>
                              <w:lang w:eastAsia="x-none"/>
                            </w:rPr>
                            <m:t>B</m:t>
                          </m:r>
                        </m:e>
                        <m:sub>
                          <m:r>
                            <w:rPr>
                              <w:rFonts w:ascii="Cambria Math" w:hAnsi="Cambria Math"/>
                              <w:spacing w:val="-1"/>
                              <w:lang w:eastAsia="x-none"/>
                            </w:rPr>
                            <m:t>min</m:t>
                          </m:r>
                        </m:sub>
                      </m:sSub>
                    </m:e>
                  </m:func>
                </m:e>
              </m:d>
            </m:den>
          </m:f>
          <m:r>
            <w:rPr>
              <w:rFonts w:ascii="Cambria Math" w:hAnsi="Cambria Math"/>
              <w:spacing w:val="-1"/>
              <w:lang w:eastAsia="x-none"/>
            </w:rPr>
            <m:t xml:space="preserve">                     (1)</m:t>
          </m:r>
        </m:oMath>
      </m:oMathPara>
    </w:p>
    <w:p w14:paraId="6C4D3F8F" w14:textId="77777777" w:rsidR="00F916D4" w:rsidRDefault="00F916D4" w:rsidP="00F859AF">
      <w:pPr>
        <w:jc w:val="both"/>
        <w:rPr>
          <w:spacing w:val="-1"/>
          <w:lang w:val="x-none" w:eastAsia="x-none"/>
        </w:rPr>
      </w:pPr>
    </w:p>
    <w:p w14:paraId="050CA5A1" w14:textId="2D95F10D" w:rsidR="00F859AF" w:rsidRPr="00F859AF" w:rsidRDefault="00F859AF" w:rsidP="00F859AF">
      <w:pPr>
        <w:jc w:val="both"/>
        <w:rPr>
          <w:spacing w:val="-1"/>
          <w:lang w:val="x-none" w:eastAsia="x-none"/>
        </w:rPr>
      </w:pPr>
      <w:r w:rsidRPr="00F859AF">
        <w:rPr>
          <w:spacing w:val="-1"/>
          <w:lang w:val="x-none" w:eastAsia="x-none"/>
        </w:rPr>
        <w:t xml:space="preserve">where </w:t>
      </w:r>
      <w:r>
        <w:rPr>
          <w:spacing w:val="-1"/>
          <w:lang w:val="x-none" w:eastAsia="x-none"/>
        </w:rPr>
        <w:t>B</w:t>
      </w:r>
      <w:r w:rsidRPr="00F859AF">
        <w:rPr>
          <w:spacing w:val="-1"/>
          <w:lang w:val="x-none" w:eastAsia="x-none"/>
        </w:rPr>
        <w:t>(r) is the coded bitrate of representation r and</w:t>
      </w:r>
      <w:r>
        <w:rPr>
          <w:spacing w:val="-1"/>
          <w:lang w:val="x-none" w:eastAsia="x-none"/>
        </w:rPr>
        <w:t xml:space="preserve"> </w:t>
      </w:r>
      <w:proofErr w:type="spellStart"/>
      <w:r>
        <w:rPr>
          <w:spacing w:val="-1"/>
          <w:lang w:eastAsia="x-none" w:bidi="fa-IR"/>
        </w:rPr>
        <w:t>B</w:t>
      </w:r>
      <w:r>
        <w:rPr>
          <w:spacing w:val="-1"/>
          <w:vertAlign w:val="subscript"/>
          <w:lang w:eastAsia="x-none" w:bidi="fa-IR"/>
        </w:rPr>
        <w:t>min</w:t>
      </w:r>
      <w:proofErr w:type="spellEnd"/>
      <w:r w:rsidRPr="00F859AF">
        <w:rPr>
          <w:spacing w:val="-1"/>
          <w:lang w:val="x-none" w:eastAsia="x-none"/>
        </w:rPr>
        <w:t xml:space="preserve">, </w:t>
      </w:r>
      <w:proofErr w:type="spellStart"/>
      <w:r>
        <w:rPr>
          <w:spacing w:val="-1"/>
          <w:lang w:val="x-none" w:eastAsia="x-none"/>
        </w:rPr>
        <w:t>B</w:t>
      </w:r>
      <w:r>
        <w:rPr>
          <w:spacing w:val="-1"/>
          <w:vertAlign w:val="subscript"/>
          <w:lang w:val="x-none" w:eastAsia="x-none"/>
        </w:rPr>
        <w:t>max</w:t>
      </w:r>
      <w:proofErr w:type="spellEnd"/>
      <w:r w:rsidRPr="00F859AF">
        <w:rPr>
          <w:spacing w:val="-1"/>
          <w:lang w:val="x-none" w:eastAsia="x-none"/>
        </w:rPr>
        <w:t xml:space="preserve"> are the ladder endpoints, so </w:t>
      </w:r>
      <w:r>
        <w:rPr>
          <w:spacing w:val="-1"/>
          <w:lang w:val="x-none" w:eastAsia="x-none"/>
        </w:rPr>
        <w:t>Q</w:t>
      </w:r>
      <w:r w:rsidRPr="00F859AF">
        <w:rPr>
          <w:spacing w:val="-1"/>
          <w:lang w:val="x-none" w:eastAsia="x-none"/>
        </w:rPr>
        <w:t xml:space="preserve"> ranges from 0 (r01) to 1 (r06). This content-independent tier utility (last column of Table I) is fixed across sequences, so the reward and the reported metric never depend on per-clip point counts.</w:t>
      </w:r>
    </w:p>
    <w:p w14:paraId="78F3884D" w14:textId="2DCC072D" w:rsidR="009303D9" w:rsidRDefault="009303D9" w:rsidP="00E7596C">
      <w:pPr>
        <w:pStyle w:val="BodyText"/>
      </w:pPr>
    </w:p>
    <w:p w14:paraId="04426948" w14:textId="77777777" w:rsidR="003F07B6" w:rsidRDefault="003F07B6" w:rsidP="003F07B6">
      <w:pPr>
        <w:pStyle w:val="BodyText"/>
        <w:keepNext/>
        <w:ind w:firstLine="0pt"/>
      </w:pPr>
      <w:r>
        <w:rPr>
          <w:noProof/>
        </w:rPr>
        <w:drawing>
          <wp:inline distT="0" distB="0" distL="0" distR="0" wp14:anchorId="74ADACE2" wp14:editId="13511D3C">
            <wp:extent cx="3089910" cy="1986280"/>
            <wp:effectExtent l="0" t="0" r="0" b="0"/>
            <wp:docPr id="1693122990" name="Graphic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93122990" name="Graphic 1693122990"/>
                    <pic:cNvPicPr/>
                  </pic:nvPicPr>
                  <pic:blipFill>
                    <a:blip r:embed="rId9">
                      <a:extLst>
                        <a:ext uri="{96DAC541-7B7A-43D3-8B79-37D633B846F1}">
                          <asvg:svgBlip xmlns:asvg="http://schemas.microsoft.com/office/drawing/2016/SVG/main" r:embed="rId10"/>
                        </a:ext>
                      </a:extLst>
                    </a:blip>
                    <a:stretch>
                      <a:fillRect/>
                    </a:stretch>
                  </pic:blipFill>
                  <pic:spPr>
                    <a:xfrm>
                      <a:off x="0" y="0"/>
                      <a:ext cx="3089910" cy="1986280"/>
                    </a:xfrm>
                    <a:prstGeom prst="rect">
                      <a:avLst/>
                    </a:prstGeom>
                  </pic:spPr>
                </pic:pic>
              </a:graphicData>
            </a:graphic>
          </wp:inline>
        </w:drawing>
      </w:r>
    </w:p>
    <w:p w14:paraId="02CE9553" w14:textId="36CBC80C" w:rsidR="00F859AF" w:rsidRPr="003F07B6" w:rsidRDefault="003F07B6" w:rsidP="003F07B6">
      <w:pPr>
        <w:pStyle w:val="Caption"/>
        <w:jc w:val="both"/>
        <w:rPr>
          <w:i w:val="0"/>
          <w:iCs w:val="0"/>
          <w:color w:val="auto"/>
          <w:sz w:val="16"/>
          <w:szCs w:val="16"/>
        </w:rPr>
      </w:pPr>
      <w:r w:rsidRPr="003F07B6">
        <w:rPr>
          <w:i w:val="0"/>
          <w:iCs w:val="0"/>
          <w:color w:val="auto"/>
          <w:sz w:val="16"/>
          <w:szCs w:val="16"/>
        </w:rPr>
        <w:t xml:space="preserve">Fig. </w:t>
      </w:r>
      <w:r w:rsidRPr="003F07B6">
        <w:rPr>
          <w:i w:val="0"/>
          <w:iCs w:val="0"/>
          <w:color w:val="auto"/>
          <w:sz w:val="16"/>
          <w:szCs w:val="16"/>
        </w:rPr>
        <w:fldChar w:fldCharType="begin"/>
      </w:r>
      <w:r w:rsidRPr="003F07B6">
        <w:rPr>
          <w:i w:val="0"/>
          <w:iCs w:val="0"/>
          <w:color w:val="auto"/>
          <w:sz w:val="16"/>
          <w:szCs w:val="16"/>
        </w:rPr>
        <w:instrText xml:space="preserve"> SEQ Figure \* ARABIC </w:instrText>
      </w:r>
      <w:r w:rsidRPr="003F07B6">
        <w:rPr>
          <w:i w:val="0"/>
          <w:iCs w:val="0"/>
          <w:color w:val="auto"/>
          <w:sz w:val="16"/>
          <w:szCs w:val="16"/>
        </w:rPr>
        <w:fldChar w:fldCharType="separate"/>
      </w:r>
      <w:r w:rsidRPr="003F07B6">
        <w:rPr>
          <w:i w:val="0"/>
          <w:iCs w:val="0"/>
          <w:noProof/>
          <w:color w:val="auto"/>
          <w:sz w:val="16"/>
          <w:szCs w:val="16"/>
        </w:rPr>
        <w:t>1</w:t>
      </w:r>
      <w:r w:rsidRPr="003F07B6">
        <w:rPr>
          <w:i w:val="0"/>
          <w:iCs w:val="0"/>
          <w:color w:val="auto"/>
          <w:sz w:val="16"/>
          <w:szCs w:val="16"/>
        </w:rPr>
        <w:fldChar w:fldCharType="end"/>
      </w:r>
      <w:r w:rsidRPr="003F07B6">
        <w:rPr>
          <w:i w:val="0"/>
          <w:iCs w:val="0"/>
          <w:color w:val="auto"/>
          <w:sz w:val="16"/>
          <w:szCs w:val="16"/>
        </w:rPr>
        <w:t>. System architecture: G-PCC encoding, content server, unconstrained backhaul, edge node, and the 5G access link to the DQN-driven point cloud client.</w:t>
      </w:r>
    </w:p>
    <w:p w14:paraId="31C0E164" w14:textId="0E05F58F" w:rsidR="009303D9" w:rsidRDefault="003F07B6" w:rsidP="00ED0149">
      <w:pPr>
        <w:pStyle w:val="Heading2"/>
      </w:pPr>
      <w:r w:rsidRPr="003F07B6">
        <w:t>Network and transport model</w:t>
      </w:r>
    </w:p>
    <w:p w14:paraId="3AFA6124" w14:textId="48FD9B9B" w:rsidR="003F07B6" w:rsidRPr="003F07B6" w:rsidRDefault="003F07B6" w:rsidP="003F07B6">
      <w:pPr>
        <w:ind w:firstLine="14.40pt"/>
        <w:jc w:val="both"/>
      </w:pPr>
      <w:r w:rsidRPr="003F07B6">
        <w:t xml:space="preserve">The access link is driven by 21 saturated-download traces of the Irish 5G dataset [9] (5 static, 16 driving), split by a registered protocol into 13 training, 4 validation, and 4 held-out test traces (the test split, sampled once with a fixed seed after removing the validation traces, contains three driving traces and one static trace). Model, reward, checkpoint, and baseline settings are frozen before the test split is ever evaluated. Every trace is cut into feasibility-checked windows on the measured timestamp grid, so no download crosses a coverage gap. A TCP connection with slow start, additive-increase multiplicative-decrease, and the dataset-derived 72 </w:t>
      </w:r>
      <w:proofErr w:type="spellStart"/>
      <w:r w:rsidRPr="003F07B6">
        <w:t>ms</w:t>
      </w:r>
      <w:proofErr w:type="spellEnd"/>
      <w:r w:rsidRPr="003F07B6">
        <w:t xml:space="preserve"> RTT carries every transfer. Capacity is re-</w:t>
      </w:r>
      <w:proofErr w:type="gramStart"/>
      <w:r w:rsidRPr="003F07B6">
        <w:t>queried</w:t>
      </w:r>
      <w:proofErr w:type="gramEnd"/>
      <w:r w:rsidRPr="003F07B6">
        <w:t xml:space="preserve"> every RTT round, and serialization time is computed as the exact integral of the piecewise-constant capacity, so a download traverses the trace instead of freezing a single sample. The client buffer holds 5 s, playback starts after 1 s has been buffered, and playback then runs at a fixed 30 fps; an empty buffer causes rebuffering. A request-pacing rule admits the next segment only when it fits the buffer—the client waits </w:t>
      </w:r>
      <w:proofErr w:type="spellStart"/>
      <w:r w:rsidRPr="003F07B6">
        <w:t>w</w:t>
      </w:r>
      <w:r w:rsidR="00F916D4">
        <w:rPr>
          <w:vertAlign w:val="subscript"/>
        </w:rPr>
        <w:t>t</w:t>
      </w:r>
      <w:proofErr w:type="spellEnd"/>
      <w:r w:rsidRPr="003F07B6">
        <w:t xml:space="preserve"> = </w:t>
      </w:r>
      <w:proofErr w:type="gramStart"/>
      <w:r w:rsidRPr="003F07B6">
        <w:t>max(</w:t>
      </w:r>
      <w:proofErr w:type="gramEnd"/>
      <w:r w:rsidRPr="003F07B6">
        <w:t xml:space="preserve">0, </w:t>
      </w:r>
      <w:proofErr w:type="spellStart"/>
      <w:r w:rsidRPr="003F07B6">
        <w:t>B</w:t>
      </w:r>
      <w:r w:rsidR="00F916D4">
        <w:rPr>
          <w:vertAlign w:val="subscript"/>
        </w:rPr>
        <w:t>t</w:t>
      </w:r>
      <w:proofErr w:type="spellEnd"/>
      <w:r w:rsidRPr="003F07B6">
        <w:t xml:space="preserve"> + S/f </w:t>
      </w:r>
      <w:r w:rsidR="00F916D4">
        <w:t>–</w:t>
      </w:r>
      <w:r w:rsidRPr="003F07B6">
        <w:t xml:space="preserve"> </w:t>
      </w:r>
      <w:proofErr w:type="spellStart"/>
      <w:r w:rsidRPr="003F07B6">
        <w:t>B</w:t>
      </w:r>
      <w:r w:rsidR="00F916D4">
        <w:rPr>
          <w:vertAlign w:val="subscript"/>
        </w:rPr>
        <w:t>max</w:t>
      </w:r>
      <w:proofErr w:type="spellEnd"/>
      <w:r w:rsidRPr="003F07B6">
        <w:t>) seconds when the buffer is nearly full—so buffer overflow never discards frames and the pacing wait is excluded from throughput measurements.</w:t>
      </w:r>
    </w:p>
    <w:p w14:paraId="7E54C8D6" w14:textId="49C9AEBA" w:rsidR="009303D9" w:rsidRPr="005B520E" w:rsidRDefault="00F916D4" w:rsidP="00ED0149">
      <w:pPr>
        <w:pStyle w:val="Heading2"/>
      </w:pPr>
      <w:r w:rsidRPr="00F916D4">
        <w:t>Segment-based fetching</w:t>
      </w:r>
    </w:p>
    <w:p w14:paraId="3F34B88F" w14:textId="16A20D38" w:rsidR="00F916D4" w:rsidRPr="00F916D4" w:rsidRDefault="00F916D4" w:rsidP="00F916D4">
      <w:pPr>
        <w:ind w:firstLine="14.40pt"/>
        <w:jc w:val="both"/>
        <w:rPr>
          <w:spacing w:val="-1"/>
          <w:lang w:val="x-none" w:eastAsia="x-none"/>
        </w:rPr>
      </w:pPr>
      <w:r w:rsidRPr="00F916D4">
        <w:rPr>
          <w:spacing w:val="-1"/>
          <w:lang w:val="x-none" w:eastAsia="x-none"/>
        </w:rPr>
        <w:t xml:space="preserve">Each ABR decision requests S consecutive frames as one HTTP transfer, amortizing the RTT. At S = 1 every 33 </w:t>
      </w:r>
      <w:proofErr w:type="spellStart"/>
      <w:r w:rsidRPr="00F916D4">
        <w:rPr>
          <w:spacing w:val="-1"/>
          <w:lang w:val="x-none" w:eastAsia="x-none"/>
        </w:rPr>
        <w:t>ms</w:t>
      </w:r>
      <w:proofErr w:type="spellEnd"/>
      <w:r w:rsidRPr="00F916D4">
        <w:rPr>
          <w:spacing w:val="-1"/>
          <w:lang w:val="x-none" w:eastAsia="x-none"/>
        </w:rPr>
        <w:t xml:space="preserve"> frame pays a 72 </w:t>
      </w:r>
      <w:proofErr w:type="spellStart"/>
      <w:r w:rsidRPr="00F916D4">
        <w:rPr>
          <w:spacing w:val="-1"/>
          <w:lang w:val="x-none" w:eastAsia="x-none"/>
        </w:rPr>
        <w:t>ms</w:t>
      </w:r>
      <w:proofErr w:type="spellEnd"/>
      <w:r w:rsidRPr="00F916D4">
        <w:rPr>
          <w:spacing w:val="-1"/>
          <w:lang w:val="x-none" w:eastAsia="x-none"/>
        </w:rPr>
        <w:t xml:space="preserve"> round trip, so no tier can sustain 30 fps; at large S the controller cannot react to mid-segment fades. Section V-C sweeps S over {5, 8, 10, 15}; </w:t>
      </w:r>
      <w:proofErr w:type="spellStart"/>
      <w:r w:rsidRPr="00F916D4">
        <w:rPr>
          <w:spacing w:val="-1"/>
          <w:lang w:val="x-none" w:eastAsia="x-none"/>
        </w:rPr>
        <w:t>QoE</w:t>
      </w:r>
      <w:proofErr w:type="spellEnd"/>
      <w:r w:rsidRPr="00F916D4">
        <w:rPr>
          <w:spacing w:val="-1"/>
          <w:lang w:val="x-none" w:eastAsia="x-none"/>
        </w:rPr>
        <w:t xml:space="preserve"> peaks at S = 10, which the final system adopts.</w:t>
      </w:r>
    </w:p>
    <w:p w14:paraId="15A9AFAF" w14:textId="473F48A5" w:rsidR="009303D9" w:rsidRDefault="00F916D4" w:rsidP="00F916D4">
      <w:pPr>
        <w:pStyle w:val="Heading1"/>
      </w:pPr>
      <w:r w:rsidRPr="00F916D4">
        <w:t>DQN-Based Bitrate Adaptation</w:t>
      </w:r>
    </w:p>
    <w:p w14:paraId="5B4A0D6C" w14:textId="6ADEC3EB" w:rsidR="00F916D4" w:rsidRPr="00F916D4" w:rsidRDefault="00F916D4" w:rsidP="00F916D4">
      <w:pPr>
        <w:pStyle w:val="Heading2"/>
      </w:pPr>
      <w:r w:rsidRPr="00F916D4">
        <w:t>State, action, and decision flow</w:t>
      </w:r>
    </w:p>
    <w:p w14:paraId="038AB11A" w14:textId="77777777" w:rsidR="00F95F0C" w:rsidRDefault="00F916D4" w:rsidP="00F95F0C">
      <w:pPr>
        <w:ind w:firstLine="14.40pt"/>
        <w:jc w:val="both"/>
        <w:rPr>
          <w:spacing w:val="-1"/>
          <w:lang w:eastAsia="x-none"/>
        </w:rPr>
      </w:pPr>
      <w:r w:rsidRPr="00F916D4">
        <w:rPr>
          <w:spacing w:val="-1"/>
          <w:lang w:eastAsia="x-none"/>
        </w:rPr>
        <w:t>Fig. 2 shows the runtime decision flow. The 23-dimensional state contains an LSTM one-step bandwidth prediction (1), the buffer level (1), the previous tier as a one-hot vector (6), the last, mean, and standard deviation of the five most recent achieved-throughput samples (3), and the per-tier bitrates (6) and tier utilities (6) taken from the manifest. All features are normalized with constants stored in the model checkpoint, so training and inference can never diverge.</w:t>
      </w:r>
    </w:p>
    <w:p w14:paraId="048BDB9E" w14:textId="678665FC" w:rsidR="005B3A51" w:rsidRPr="00DC6911" w:rsidRDefault="005B3A51" w:rsidP="005B3A51">
      <w:pPr>
        <w:pStyle w:val="Caption"/>
        <w:keepNext/>
        <w:rPr>
          <w:i w:val="0"/>
          <w:iCs w:val="0"/>
          <w:color w:val="auto"/>
          <w:sz w:val="16"/>
          <w:szCs w:val="16"/>
        </w:rPr>
      </w:pPr>
      <w:r w:rsidRPr="00DC6911">
        <w:rPr>
          <w:i w:val="0"/>
          <w:iCs w:val="0"/>
          <w:color w:val="auto"/>
          <w:sz w:val="16"/>
          <w:szCs w:val="16"/>
        </w:rPr>
        <w:lastRenderedPageBreak/>
        <w:t xml:space="preserve">Table </w:t>
      </w:r>
      <w:r w:rsidRPr="00DC6911">
        <w:rPr>
          <w:i w:val="0"/>
          <w:iCs w:val="0"/>
          <w:color w:val="auto"/>
          <w:sz w:val="16"/>
          <w:szCs w:val="16"/>
        </w:rPr>
        <w:fldChar w:fldCharType="begin"/>
      </w:r>
      <w:r w:rsidRPr="00DC6911">
        <w:rPr>
          <w:i w:val="0"/>
          <w:iCs w:val="0"/>
          <w:color w:val="auto"/>
          <w:sz w:val="16"/>
          <w:szCs w:val="16"/>
        </w:rPr>
        <w:instrText xml:space="preserve"> SEQ Table \* ROMAN </w:instrText>
      </w:r>
      <w:r w:rsidRPr="00DC6911">
        <w:rPr>
          <w:i w:val="0"/>
          <w:iCs w:val="0"/>
          <w:color w:val="auto"/>
          <w:sz w:val="16"/>
          <w:szCs w:val="16"/>
        </w:rPr>
        <w:fldChar w:fldCharType="separate"/>
      </w:r>
      <w:r w:rsidRPr="00DC6911">
        <w:rPr>
          <w:i w:val="0"/>
          <w:iCs w:val="0"/>
          <w:noProof/>
          <w:color w:val="auto"/>
          <w:sz w:val="16"/>
          <w:szCs w:val="16"/>
        </w:rPr>
        <w:t>I</w:t>
      </w:r>
      <w:r w:rsidRPr="00DC6911">
        <w:rPr>
          <w:i w:val="0"/>
          <w:iCs w:val="0"/>
          <w:color w:val="auto"/>
          <w:sz w:val="16"/>
          <w:szCs w:val="16"/>
        </w:rPr>
        <w:fldChar w:fldCharType="end"/>
      </w:r>
      <w:r w:rsidRPr="00DC6911">
        <w:rPr>
          <w:i w:val="0"/>
          <w:iCs w:val="0"/>
          <w:noProof/>
          <w:color w:val="auto"/>
          <w:sz w:val="16"/>
          <w:szCs w:val="16"/>
        </w:rPr>
        <w:t>. Six-Tier G-PCC Quality Ladder (Longdress)</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564"/>
        <w:gridCol w:w="851"/>
        <w:gridCol w:w="850"/>
        <w:gridCol w:w="851"/>
        <w:gridCol w:w="992"/>
        <w:gridCol w:w="752"/>
      </w:tblGrid>
      <w:tr w:rsidR="00F95F0C" w14:paraId="29A51E68" w14:textId="77777777" w:rsidTr="006B769A">
        <w:trPr>
          <w:cantSplit/>
          <w:trHeight w:val="485"/>
          <w:tblHeader/>
          <w:jc w:val="center"/>
        </w:trPr>
        <w:tc>
          <w:tcPr>
            <w:tcW w:w="28.20pt" w:type="dxa"/>
            <w:vAlign w:val="center"/>
          </w:tcPr>
          <w:p w14:paraId="73566EAC" w14:textId="2B1FF36E" w:rsidR="00F95F0C" w:rsidRDefault="00F95F0C" w:rsidP="00455FCE">
            <w:pPr>
              <w:pStyle w:val="tablecolhead"/>
            </w:pPr>
            <w:r>
              <w:t>Tier</w:t>
            </w:r>
          </w:p>
        </w:tc>
        <w:tc>
          <w:tcPr>
            <w:tcW w:w="42.55pt" w:type="dxa"/>
            <w:vAlign w:val="center"/>
          </w:tcPr>
          <w:p w14:paraId="1CC2639C" w14:textId="3DE6667A" w:rsidR="00F95F0C" w:rsidRDefault="006B769A" w:rsidP="00455FCE">
            <w:pPr>
              <w:pStyle w:val="tablecolhead"/>
            </w:pPr>
            <w:proofErr w:type="spellStart"/>
            <w:r>
              <w:t>Pos.scale</w:t>
            </w:r>
            <w:proofErr w:type="spellEnd"/>
          </w:p>
        </w:tc>
        <w:tc>
          <w:tcPr>
            <w:tcW w:w="42.50pt" w:type="dxa"/>
            <w:vAlign w:val="center"/>
          </w:tcPr>
          <w:p w14:paraId="68741EED" w14:textId="036AB1EF" w:rsidR="00F95F0C" w:rsidRDefault="006B769A" w:rsidP="00455FCE">
            <w:pPr>
              <w:pStyle w:val="tablecolhead"/>
            </w:pPr>
            <w:proofErr w:type="spellStart"/>
            <w:r>
              <w:t>Attr.QP</w:t>
            </w:r>
            <w:proofErr w:type="spellEnd"/>
          </w:p>
        </w:tc>
        <w:tc>
          <w:tcPr>
            <w:tcW w:w="42.55pt" w:type="dxa"/>
            <w:vAlign w:val="center"/>
          </w:tcPr>
          <w:p w14:paraId="49D36056" w14:textId="577F2C5E" w:rsidR="00F95F0C" w:rsidRDefault="006B769A" w:rsidP="00455FCE">
            <w:pPr>
              <w:pStyle w:val="tablecolhead"/>
            </w:pPr>
            <w:r>
              <w:t>Bitrate (Mbit/s)</w:t>
            </w:r>
          </w:p>
        </w:tc>
        <w:tc>
          <w:tcPr>
            <w:tcW w:w="49.60pt" w:type="dxa"/>
            <w:vAlign w:val="center"/>
          </w:tcPr>
          <w:p w14:paraId="4D238ED8" w14:textId="1A2C4C50" w:rsidR="00F95F0C" w:rsidRDefault="006B769A" w:rsidP="00455FCE">
            <w:pPr>
              <w:pStyle w:val="tablecolhead"/>
            </w:pPr>
            <w:r>
              <w:t>Points (frame 0)</w:t>
            </w:r>
          </w:p>
        </w:tc>
        <w:tc>
          <w:tcPr>
            <w:tcW w:w="37.60pt" w:type="dxa"/>
            <w:vAlign w:val="center"/>
          </w:tcPr>
          <w:p w14:paraId="55E0BC50" w14:textId="2D14EADB" w:rsidR="00F95F0C" w:rsidRDefault="006B769A" w:rsidP="00455FCE">
            <w:pPr>
              <w:pStyle w:val="tablecolhead"/>
            </w:pPr>
            <w:r>
              <w:t xml:space="preserve">Utility </w:t>
            </w:r>
            <w:r w:rsidR="00DC6911">
              <w:t>Q</w:t>
            </w:r>
          </w:p>
        </w:tc>
      </w:tr>
      <w:tr w:rsidR="006B769A" w14:paraId="2AA61E7E" w14:textId="77777777" w:rsidTr="006B769A">
        <w:trPr>
          <w:trHeight w:val="320"/>
          <w:jc w:val="center"/>
        </w:trPr>
        <w:tc>
          <w:tcPr>
            <w:tcW w:w="28.20pt" w:type="dxa"/>
            <w:vAlign w:val="center"/>
          </w:tcPr>
          <w:p w14:paraId="4677F77B" w14:textId="7F4BF1DD" w:rsidR="006B769A" w:rsidRDefault="006B769A" w:rsidP="00455FCE">
            <w:pPr>
              <w:pStyle w:val="tablecopy"/>
              <w:rPr>
                <w:sz w:val="8"/>
                <w:szCs w:val="8"/>
              </w:rPr>
            </w:pPr>
            <w:r>
              <w:t>R6</w:t>
            </w:r>
          </w:p>
        </w:tc>
        <w:tc>
          <w:tcPr>
            <w:tcW w:w="42.55pt" w:type="dxa"/>
            <w:vAlign w:val="center"/>
          </w:tcPr>
          <w:p w14:paraId="7D7922F3" w14:textId="6C3931F1" w:rsidR="006B769A" w:rsidRDefault="006B769A" w:rsidP="00455FCE">
            <w:pPr>
              <w:rPr>
                <w:sz w:val="16"/>
                <w:szCs w:val="16"/>
              </w:rPr>
            </w:pPr>
            <w:r>
              <w:rPr>
                <w:sz w:val="16"/>
                <w:szCs w:val="16"/>
              </w:rPr>
              <w:t>1.000</w:t>
            </w:r>
          </w:p>
        </w:tc>
        <w:tc>
          <w:tcPr>
            <w:tcW w:w="42.50pt" w:type="dxa"/>
            <w:vAlign w:val="center"/>
          </w:tcPr>
          <w:p w14:paraId="2B3ECDC6" w14:textId="02FCF28F" w:rsidR="006B769A" w:rsidRDefault="006B769A" w:rsidP="00455FCE">
            <w:pPr>
              <w:rPr>
                <w:sz w:val="16"/>
                <w:szCs w:val="16"/>
              </w:rPr>
            </w:pPr>
            <w:r>
              <w:rPr>
                <w:sz w:val="16"/>
                <w:szCs w:val="16"/>
              </w:rPr>
              <w:t>22</w:t>
            </w:r>
          </w:p>
        </w:tc>
        <w:tc>
          <w:tcPr>
            <w:tcW w:w="42.55pt" w:type="dxa"/>
            <w:vAlign w:val="center"/>
          </w:tcPr>
          <w:p w14:paraId="2368E465" w14:textId="12F1C7E4" w:rsidR="006B769A" w:rsidRDefault="006B769A" w:rsidP="00455FCE">
            <w:pPr>
              <w:rPr>
                <w:sz w:val="16"/>
                <w:szCs w:val="16"/>
              </w:rPr>
            </w:pPr>
            <w:r>
              <w:rPr>
                <w:sz w:val="16"/>
                <w:szCs w:val="16"/>
              </w:rPr>
              <w:t>102.4</w:t>
            </w:r>
          </w:p>
        </w:tc>
        <w:tc>
          <w:tcPr>
            <w:tcW w:w="49.60pt" w:type="dxa"/>
            <w:vAlign w:val="center"/>
          </w:tcPr>
          <w:p w14:paraId="0A0ECAC4" w14:textId="1BAFAEF7" w:rsidR="006B769A" w:rsidRDefault="006B769A" w:rsidP="00455FCE">
            <w:pPr>
              <w:rPr>
                <w:sz w:val="16"/>
                <w:szCs w:val="16"/>
              </w:rPr>
            </w:pPr>
            <w:r>
              <w:rPr>
                <w:sz w:val="16"/>
                <w:szCs w:val="16"/>
              </w:rPr>
              <w:t>765,821</w:t>
            </w:r>
          </w:p>
        </w:tc>
        <w:tc>
          <w:tcPr>
            <w:tcW w:w="37.60pt" w:type="dxa"/>
            <w:vAlign w:val="center"/>
          </w:tcPr>
          <w:p w14:paraId="4F0FC284" w14:textId="6ED2A12F" w:rsidR="006B769A" w:rsidRDefault="006B769A" w:rsidP="00455FCE">
            <w:pPr>
              <w:rPr>
                <w:sz w:val="16"/>
                <w:szCs w:val="16"/>
              </w:rPr>
            </w:pPr>
            <w:r>
              <w:rPr>
                <w:sz w:val="16"/>
                <w:szCs w:val="16"/>
              </w:rPr>
              <w:t>1.000</w:t>
            </w:r>
          </w:p>
        </w:tc>
      </w:tr>
      <w:tr w:rsidR="006B769A" w14:paraId="68CAE0C4" w14:textId="77777777" w:rsidTr="006B769A">
        <w:trPr>
          <w:trHeight w:val="320"/>
          <w:jc w:val="center"/>
        </w:trPr>
        <w:tc>
          <w:tcPr>
            <w:tcW w:w="28.20pt" w:type="dxa"/>
            <w:vAlign w:val="center"/>
          </w:tcPr>
          <w:p w14:paraId="7E48A2C4" w14:textId="71DA6F3C" w:rsidR="006B769A" w:rsidRDefault="006B769A" w:rsidP="00455FCE">
            <w:pPr>
              <w:pStyle w:val="tablecopy"/>
            </w:pPr>
            <w:r>
              <w:t>R5</w:t>
            </w:r>
          </w:p>
        </w:tc>
        <w:tc>
          <w:tcPr>
            <w:tcW w:w="42.55pt" w:type="dxa"/>
            <w:vAlign w:val="center"/>
          </w:tcPr>
          <w:p w14:paraId="43992699" w14:textId="1B4773B1" w:rsidR="006B769A" w:rsidRDefault="006B769A" w:rsidP="00455FCE">
            <w:pPr>
              <w:rPr>
                <w:sz w:val="16"/>
                <w:szCs w:val="16"/>
              </w:rPr>
            </w:pPr>
            <w:r>
              <w:rPr>
                <w:sz w:val="16"/>
                <w:szCs w:val="16"/>
              </w:rPr>
              <w:t>0.875</w:t>
            </w:r>
          </w:p>
        </w:tc>
        <w:tc>
          <w:tcPr>
            <w:tcW w:w="42.50pt" w:type="dxa"/>
            <w:vAlign w:val="center"/>
          </w:tcPr>
          <w:p w14:paraId="656A9CE9" w14:textId="41FAAE50" w:rsidR="006B769A" w:rsidRDefault="006B769A" w:rsidP="00455FCE">
            <w:pPr>
              <w:rPr>
                <w:sz w:val="16"/>
                <w:szCs w:val="16"/>
              </w:rPr>
            </w:pPr>
            <w:r>
              <w:rPr>
                <w:sz w:val="16"/>
                <w:szCs w:val="16"/>
              </w:rPr>
              <w:t>28</w:t>
            </w:r>
          </w:p>
        </w:tc>
        <w:tc>
          <w:tcPr>
            <w:tcW w:w="42.55pt" w:type="dxa"/>
            <w:vAlign w:val="center"/>
          </w:tcPr>
          <w:p w14:paraId="461294F9" w14:textId="71D1E8B8" w:rsidR="006B769A" w:rsidRDefault="006B769A" w:rsidP="00455FCE">
            <w:pPr>
              <w:rPr>
                <w:sz w:val="16"/>
                <w:szCs w:val="16"/>
              </w:rPr>
            </w:pPr>
            <w:r>
              <w:rPr>
                <w:sz w:val="16"/>
                <w:szCs w:val="16"/>
              </w:rPr>
              <w:t>59.6</w:t>
            </w:r>
          </w:p>
        </w:tc>
        <w:tc>
          <w:tcPr>
            <w:tcW w:w="49.60pt" w:type="dxa"/>
            <w:vAlign w:val="center"/>
          </w:tcPr>
          <w:p w14:paraId="51E9F7BC" w14:textId="13D732B3" w:rsidR="006B769A" w:rsidRDefault="006B769A" w:rsidP="00455FCE">
            <w:pPr>
              <w:rPr>
                <w:sz w:val="16"/>
                <w:szCs w:val="16"/>
              </w:rPr>
            </w:pPr>
            <w:r>
              <w:rPr>
                <w:sz w:val="16"/>
                <w:szCs w:val="16"/>
              </w:rPr>
              <w:t>602,139</w:t>
            </w:r>
          </w:p>
        </w:tc>
        <w:tc>
          <w:tcPr>
            <w:tcW w:w="37.60pt" w:type="dxa"/>
            <w:vAlign w:val="center"/>
          </w:tcPr>
          <w:p w14:paraId="17D1DAFD" w14:textId="44DFC41B" w:rsidR="006B769A" w:rsidRDefault="006B769A" w:rsidP="00455FCE">
            <w:pPr>
              <w:rPr>
                <w:sz w:val="16"/>
                <w:szCs w:val="16"/>
              </w:rPr>
            </w:pPr>
            <w:r>
              <w:rPr>
                <w:sz w:val="16"/>
                <w:szCs w:val="16"/>
              </w:rPr>
              <w:t>0.898</w:t>
            </w:r>
          </w:p>
        </w:tc>
      </w:tr>
      <w:tr w:rsidR="006B769A" w14:paraId="33C07B47" w14:textId="77777777" w:rsidTr="006B769A">
        <w:trPr>
          <w:trHeight w:val="320"/>
          <w:jc w:val="center"/>
        </w:trPr>
        <w:tc>
          <w:tcPr>
            <w:tcW w:w="28.20pt" w:type="dxa"/>
            <w:vAlign w:val="center"/>
          </w:tcPr>
          <w:p w14:paraId="10AA2DF1" w14:textId="49AC187B" w:rsidR="006B769A" w:rsidRDefault="006B769A" w:rsidP="00455FCE">
            <w:pPr>
              <w:pStyle w:val="tablecopy"/>
            </w:pPr>
            <w:r>
              <w:t>R4</w:t>
            </w:r>
          </w:p>
        </w:tc>
        <w:tc>
          <w:tcPr>
            <w:tcW w:w="42.55pt" w:type="dxa"/>
            <w:vAlign w:val="center"/>
          </w:tcPr>
          <w:p w14:paraId="6BB1302B" w14:textId="63A4A997" w:rsidR="006B769A" w:rsidRDefault="006B769A" w:rsidP="00455FCE">
            <w:pPr>
              <w:rPr>
                <w:sz w:val="16"/>
                <w:szCs w:val="16"/>
              </w:rPr>
            </w:pPr>
            <w:r>
              <w:rPr>
                <w:sz w:val="16"/>
                <w:szCs w:val="16"/>
              </w:rPr>
              <w:t>0.750</w:t>
            </w:r>
          </w:p>
        </w:tc>
        <w:tc>
          <w:tcPr>
            <w:tcW w:w="42.50pt" w:type="dxa"/>
            <w:vAlign w:val="center"/>
          </w:tcPr>
          <w:p w14:paraId="0791D59D" w14:textId="22311EF0" w:rsidR="006B769A" w:rsidRDefault="006B769A" w:rsidP="00455FCE">
            <w:pPr>
              <w:rPr>
                <w:sz w:val="16"/>
                <w:szCs w:val="16"/>
              </w:rPr>
            </w:pPr>
            <w:r>
              <w:rPr>
                <w:sz w:val="16"/>
                <w:szCs w:val="16"/>
              </w:rPr>
              <w:t>34</w:t>
            </w:r>
          </w:p>
        </w:tc>
        <w:tc>
          <w:tcPr>
            <w:tcW w:w="42.55pt" w:type="dxa"/>
            <w:vAlign w:val="center"/>
          </w:tcPr>
          <w:p w14:paraId="00BCA269" w14:textId="2DF149E9" w:rsidR="006B769A" w:rsidRDefault="006B769A" w:rsidP="00455FCE">
            <w:pPr>
              <w:rPr>
                <w:sz w:val="16"/>
                <w:szCs w:val="16"/>
              </w:rPr>
            </w:pPr>
            <w:r>
              <w:rPr>
                <w:sz w:val="16"/>
                <w:szCs w:val="16"/>
              </w:rPr>
              <w:t>35.5</w:t>
            </w:r>
          </w:p>
        </w:tc>
        <w:tc>
          <w:tcPr>
            <w:tcW w:w="49.60pt" w:type="dxa"/>
            <w:vAlign w:val="center"/>
          </w:tcPr>
          <w:p w14:paraId="5FAF365D" w14:textId="6781B3DD" w:rsidR="006B769A" w:rsidRDefault="006B769A" w:rsidP="00455FCE">
            <w:pPr>
              <w:rPr>
                <w:sz w:val="16"/>
                <w:szCs w:val="16"/>
              </w:rPr>
            </w:pPr>
            <w:r>
              <w:rPr>
                <w:sz w:val="16"/>
                <w:szCs w:val="16"/>
              </w:rPr>
              <w:t>453,698</w:t>
            </w:r>
          </w:p>
        </w:tc>
        <w:tc>
          <w:tcPr>
            <w:tcW w:w="37.60pt" w:type="dxa"/>
            <w:vAlign w:val="center"/>
          </w:tcPr>
          <w:p w14:paraId="5FC56BAB" w14:textId="4BE8A1A4" w:rsidR="006B769A" w:rsidRDefault="006B769A" w:rsidP="00455FCE">
            <w:pPr>
              <w:rPr>
                <w:sz w:val="16"/>
                <w:szCs w:val="16"/>
              </w:rPr>
            </w:pPr>
            <w:r>
              <w:rPr>
                <w:sz w:val="16"/>
                <w:szCs w:val="16"/>
              </w:rPr>
              <w:t>0.803</w:t>
            </w:r>
          </w:p>
        </w:tc>
      </w:tr>
      <w:tr w:rsidR="006B769A" w14:paraId="3EA8BF2C" w14:textId="77777777" w:rsidTr="006B769A">
        <w:trPr>
          <w:trHeight w:val="320"/>
          <w:jc w:val="center"/>
        </w:trPr>
        <w:tc>
          <w:tcPr>
            <w:tcW w:w="28.20pt" w:type="dxa"/>
            <w:vAlign w:val="center"/>
          </w:tcPr>
          <w:p w14:paraId="55A0BD45" w14:textId="1D2A2CD3" w:rsidR="006B769A" w:rsidRDefault="006B769A" w:rsidP="00455FCE">
            <w:pPr>
              <w:pStyle w:val="tablecopy"/>
            </w:pPr>
            <w:r>
              <w:t>R3</w:t>
            </w:r>
          </w:p>
        </w:tc>
        <w:tc>
          <w:tcPr>
            <w:tcW w:w="42.55pt" w:type="dxa"/>
            <w:vAlign w:val="center"/>
          </w:tcPr>
          <w:p w14:paraId="1289DE67" w14:textId="59DF7D76" w:rsidR="006B769A" w:rsidRDefault="006B769A" w:rsidP="00455FCE">
            <w:pPr>
              <w:rPr>
                <w:sz w:val="16"/>
                <w:szCs w:val="16"/>
              </w:rPr>
            </w:pPr>
            <w:r>
              <w:rPr>
                <w:sz w:val="16"/>
                <w:szCs w:val="16"/>
              </w:rPr>
              <w:t>0.500</w:t>
            </w:r>
          </w:p>
        </w:tc>
        <w:tc>
          <w:tcPr>
            <w:tcW w:w="42.50pt" w:type="dxa"/>
            <w:vAlign w:val="center"/>
          </w:tcPr>
          <w:p w14:paraId="4E25E331" w14:textId="5111CB57" w:rsidR="006B769A" w:rsidRDefault="006B769A" w:rsidP="00455FCE">
            <w:pPr>
              <w:rPr>
                <w:sz w:val="16"/>
                <w:szCs w:val="16"/>
              </w:rPr>
            </w:pPr>
            <w:r>
              <w:rPr>
                <w:sz w:val="16"/>
                <w:szCs w:val="16"/>
              </w:rPr>
              <w:t>40</w:t>
            </w:r>
          </w:p>
        </w:tc>
        <w:tc>
          <w:tcPr>
            <w:tcW w:w="42.55pt" w:type="dxa"/>
            <w:vAlign w:val="center"/>
          </w:tcPr>
          <w:p w14:paraId="1E89BD79" w14:textId="17C59EC3" w:rsidR="006B769A" w:rsidRDefault="006B769A" w:rsidP="00455FCE">
            <w:pPr>
              <w:rPr>
                <w:sz w:val="16"/>
                <w:szCs w:val="16"/>
              </w:rPr>
            </w:pPr>
            <w:r>
              <w:rPr>
                <w:sz w:val="16"/>
                <w:szCs w:val="16"/>
              </w:rPr>
              <w:t>14.1</w:t>
            </w:r>
          </w:p>
        </w:tc>
        <w:tc>
          <w:tcPr>
            <w:tcW w:w="49.60pt" w:type="dxa"/>
            <w:vAlign w:val="center"/>
          </w:tcPr>
          <w:p w14:paraId="2536894D" w14:textId="76B7788E" w:rsidR="006B769A" w:rsidRDefault="006B769A" w:rsidP="00455FCE">
            <w:pPr>
              <w:rPr>
                <w:sz w:val="16"/>
                <w:szCs w:val="16"/>
              </w:rPr>
            </w:pPr>
            <w:r>
              <w:rPr>
                <w:sz w:val="16"/>
                <w:szCs w:val="16"/>
              </w:rPr>
              <w:t>212.105</w:t>
            </w:r>
          </w:p>
        </w:tc>
        <w:tc>
          <w:tcPr>
            <w:tcW w:w="37.60pt" w:type="dxa"/>
            <w:vAlign w:val="center"/>
          </w:tcPr>
          <w:p w14:paraId="383E073F" w14:textId="235105F5" w:rsidR="006B769A" w:rsidRDefault="006B769A" w:rsidP="00455FCE">
            <w:pPr>
              <w:rPr>
                <w:sz w:val="16"/>
                <w:szCs w:val="16"/>
              </w:rPr>
            </w:pPr>
            <w:r>
              <w:rPr>
                <w:sz w:val="16"/>
                <w:szCs w:val="16"/>
              </w:rPr>
              <w:t>0.613</w:t>
            </w:r>
          </w:p>
        </w:tc>
      </w:tr>
      <w:tr w:rsidR="006B769A" w14:paraId="168ADB03" w14:textId="77777777" w:rsidTr="006B769A">
        <w:trPr>
          <w:trHeight w:val="320"/>
          <w:jc w:val="center"/>
        </w:trPr>
        <w:tc>
          <w:tcPr>
            <w:tcW w:w="28.20pt" w:type="dxa"/>
            <w:vAlign w:val="center"/>
          </w:tcPr>
          <w:p w14:paraId="07507469" w14:textId="006194E9" w:rsidR="006B769A" w:rsidRDefault="006B769A" w:rsidP="00455FCE">
            <w:pPr>
              <w:pStyle w:val="tablecopy"/>
            </w:pPr>
            <w:r>
              <w:t>R2</w:t>
            </w:r>
          </w:p>
        </w:tc>
        <w:tc>
          <w:tcPr>
            <w:tcW w:w="42.55pt" w:type="dxa"/>
            <w:vAlign w:val="center"/>
          </w:tcPr>
          <w:p w14:paraId="348E8490" w14:textId="5AE0DB9B" w:rsidR="006B769A" w:rsidRDefault="006B769A" w:rsidP="00455FCE">
            <w:pPr>
              <w:rPr>
                <w:sz w:val="16"/>
                <w:szCs w:val="16"/>
              </w:rPr>
            </w:pPr>
            <w:r>
              <w:rPr>
                <w:sz w:val="16"/>
                <w:szCs w:val="16"/>
              </w:rPr>
              <w:t>0.250</w:t>
            </w:r>
          </w:p>
        </w:tc>
        <w:tc>
          <w:tcPr>
            <w:tcW w:w="42.50pt" w:type="dxa"/>
            <w:vAlign w:val="center"/>
          </w:tcPr>
          <w:p w14:paraId="5A80466D" w14:textId="134F7B41" w:rsidR="006B769A" w:rsidRDefault="006B769A" w:rsidP="00455FCE">
            <w:pPr>
              <w:rPr>
                <w:sz w:val="16"/>
                <w:szCs w:val="16"/>
              </w:rPr>
            </w:pPr>
            <w:r>
              <w:rPr>
                <w:sz w:val="16"/>
                <w:szCs w:val="16"/>
              </w:rPr>
              <w:t>46</w:t>
            </w:r>
          </w:p>
        </w:tc>
        <w:tc>
          <w:tcPr>
            <w:tcW w:w="42.55pt" w:type="dxa"/>
            <w:vAlign w:val="center"/>
          </w:tcPr>
          <w:p w14:paraId="061AB3B2" w14:textId="69DDBEA8" w:rsidR="006B769A" w:rsidRDefault="006B769A" w:rsidP="00455FCE">
            <w:pPr>
              <w:rPr>
                <w:sz w:val="16"/>
                <w:szCs w:val="16"/>
              </w:rPr>
            </w:pPr>
            <w:r>
              <w:rPr>
                <w:sz w:val="16"/>
                <w:szCs w:val="16"/>
              </w:rPr>
              <w:t>3.4</w:t>
            </w:r>
          </w:p>
        </w:tc>
        <w:tc>
          <w:tcPr>
            <w:tcW w:w="49.60pt" w:type="dxa"/>
            <w:vAlign w:val="center"/>
          </w:tcPr>
          <w:p w14:paraId="496C5CF3" w14:textId="31E2FDD7" w:rsidR="006B769A" w:rsidRDefault="006B769A" w:rsidP="00455FCE">
            <w:pPr>
              <w:rPr>
                <w:sz w:val="16"/>
                <w:szCs w:val="16"/>
              </w:rPr>
            </w:pPr>
            <w:r>
              <w:rPr>
                <w:sz w:val="16"/>
                <w:szCs w:val="16"/>
              </w:rPr>
              <w:t>55,374</w:t>
            </w:r>
          </w:p>
        </w:tc>
        <w:tc>
          <w:tcPr>
            <w:tcW w:w="37.60pt" w:type="dxa"/>
            <w:vAlign w:val="center"/>
          </w:tcPr>
          <w:p w14:paraId="5D36B356" w14:textId="3694A337" w:rsidR="006B769A" w:rsidRDefault="006B769A" w:rsidP="00455FCE">
            <w:pPr>
              <w:rPr>
                <w:sz w:val="16"/>
                <w:szCs w:val="16"/>
              </w:rPr>
            </w:pPr>
            <w:r>
              <w:rPr>
                <w:sz w:val="16"/>
                <w:szCs w:val="16"/>
              </w:rPr>
              <w:t>0.305</w:t>
            </w:r>
          </w:p>
        </w:tc>
      </w:tr>
      <w:tr w:rsidR="006B769A" w14:paraId="015709A0" w14:textId="77777777" w:rsidTr="006B769A">
        <w:trPr>
          <w:trHeight w:val="320"/>
          <w:jc w:val="center"/>
        </w:trPr>
        <w:tc>
          <w:tcPr>
            <w:tcW w:w="28.20pt" w:type="dxa"/>
            <w:vAlign w:val="center"/>
          </w:tcPr>
          <w:p w14:paraId="5F9F0393" w14:textId="6CA1AC54" w:rsidR="006B769A" w:rsidRDefault="006B769A" w:rsidP="00455FCE">
            <w:pPr>
              <w:pStyle w:val="tablecopy"/>
            </w:pPr>
            <w:r>
              <w:t>R1</w:t>
            </w:r>
          </w:p>
        </w:tc>
        <w:tc>
          <w:tcPr>
            <w:tcW w:w="42.55pt" w:type="dxa"/>
            <w:vAlign w:val="center"/>
          </w:tcPr>
          <w:p w14:paraId="725909D9" w14:textId="0AF653FE" w:rsidR="006B769A" w:rsidRDefault="006B769A" w:rsidP="00455FCE">
            <w:pPr>
              <w:rPr>
                <w:sz w:val="16"/>
                <w:szCs w:val="16"/>
              </w:rPr>
            </w:pPr>
            <w:r>
              <w:rPr>
                <w:sz w:val="16"/>
                <w:szCs w:val="16"/>
              </w:rPr>
              <w:t>0.125</w:t>
            </w:r>
          </w:p>
        </w:tc>
        <w:tc>
          <w:tcPr>
            <w:tcW w:w="42.50pt" w:type="dxa"/>
            <w:vAlign w:val="center"/>
          </w:tcPr>
          <w:p w14:paraId="5CDBB5CD" w14:textId="68EA1D0A" w:rsidR="006B769A" w:rsidRDefault="006B769A" w:rsidP="00455FCE">
            <w:pPr>
              <w:rPr>
                <w:sz w:val="16"/>
                <w:szCs w:val="16"/>
              </w:rPr>
            </w:pPr>
            <w:r>
              <w:rPr>
                <w:sz w:val="16"/>
                <w:szCs w:val="16"/>
              </w:rPr>
              <w:t>51</w:t>
            </w:r>
          </w:p>
        </w:tc>
        <w:tc>
          <w:tcPr>
            <w:tcW w:w="42.55pt" w:type="dxa"/>
            <w:vAlign w:val="center"/>
          </w:tcPr>
          <w:p w14:paraId="73DA6FEE" w14:textId="54EFA71D" w:rsidR="006B769A" w:rsidRDefault="006B769A" w:rsidP="00455FCE">
            <w:pPr>
              <w:rPr>
                <w:sz w:val="16"/>
                <w:szCs w:val="16"/>
              </w:rPr>
            </w:pPr>
            <w:r>
              <w:rPr>
                <w:sz w:val="16"/>
                <w:szCs w:val="16"/>
              </w:rPr>
              <w:t>0.9</w:t>
            </w:r>
          </w:p>
        </w:tc>
        <w:tc>
          <w:tcPr>
            <w:tcW w:w="49.60pt" w:type="dxa"/>
            <w:vAlign w:val="center"/>
          </w:tcPr>
          <w:p w14:paraId="1E050456" w14:textId="5BA05A65" w:rsidR="006B769A" w:rsidRDefault="006B769A" w:rsidP="00455FCE">
            <w:pPr>
              <w:rPr>
                <w:sz w:val="16"/>
                <w:szCs w:val="16"/>
              </w:rPr>
            </w:pPr>
            <w:r>
              <w:rPr>
                <w:sz w:val="16"/>
                <w:szCs w:val="16"/>
              </w:rPr>
              <w:t>14,057</w:t>
            </w:r>
          </w:p>
        </w:tc>
        <w:tc>
          <w:tcPr>
            <w:tcW w:w="37.60pt" w:type="dxa"/>
            <w:vAlign w:val="center"/>
          </w:tcPr>
          <w:p w14:paraId="418408EB" w14:textId="184D7855" w:rsidR="006B769A" w:rsidRDefault="006B769A" w:rsidP="00455FCE">
            <w:pPr>
              <w:rPr>
                <w:sz w:val="16"/>
                <w:szCs w:val="16"/>
              </w:rPr>
            </w:pPr>
            <w:r>
              <w:rPr>
                <w:sz w:val="16"/>
                <w:szCs w:val="16"/>
              </w:rPr>
              <w:t>0.000</w:t>
            </w:r>
          </w:p>
        </w:tc>
      </w:tr>
    </w:tbl>
    <w:p w14:paraId="254B27C6" w14:textId="77777777" w:rsidR="00F95F0C" w:rsidRDefault="00F95F0C" w:rsidP="00F95F0C">
      <w:pPr>
        <w:jc w:val="both"/>
        <w:rPr>
          <w:spacing w:val="-1"/>
          <w:lang w:eastAsia="x-none"/>
        </w:rPr>
      </w:pPr>
    </w:p>
    <w:p w14:paraId="5F7C2DAB" w14:textId="4E2CBC93" w:rsidR="00F916D4" w:rsidRDefault="00F916D4" w:rsidP="00F95F0C">
      <w:pPr>
        <w:jc w:val="both"/>
        <w:rPr>
          <w:spacing w:val="-1"/>
          <w:lang w:eastAsia="x-none"/>
        </w:rPr>
      </w:pPr>
      <w:r w:rsidRPr="00F916D4">
        <w:rPr>
          <w:spacing w:val="-1"/>
          <w:lang w:eastAsia="x-none"/>
        </w:rPr>
        <w:t>The</w:t>
      </w:r>
      <w:r w:rsidR="00F95F0C">
        <w:rPr>
          <w:spacing w:val="-1"/>
          <w:lang w:eastAsia="x-none"/>
        </w:rPr>
        <w:t xml:space="preserve"> </w:t>
      </w:r>
      <w:r w:rsidRPr="00F916D4">
        <w:rPr>
          <w:spacing w:val="-1"/>
          <w:lang w:eastAsia="x-none"/>
        </w:rPr>
        <w:t>action selects one of the six tiers for the next 10-frame segment.</w:t>
      </w:r>
    </w:p>
    <w:p w14:paraId="7AAB26FB" w14:textId="10844529" w:rsidR="00DC6911" w:rsidRDefault="00DC6911" w:rsidP="00DC6911">
      <w:pPr>
        <w:pStyle w:val="Heading2"/>
      </w:pPr>
      <w:r>
        <w:t>Reward</w:t>
      </w:r>
    </w:p>
    <w:p w14:paraId="55712D32" w14:textId="77777777" w:rsidR="00DC6911" w:rsidRPr="00DC6911" w:rsidRDefault="00DC6911" w:rsidP="00DC6911">
      <w:pPr>
        <w:ind w:firstLine="14.40pt"/>
        <w:jc w:val="both"/>
      </w:pPr>
      <w:r w:rsidRPr="00DC6911">
        <w:t>Training and evaluation use exactly the same additive objective. Let (</w:t>
      </w:r>
      <w:proofErr w:type="spellStart"/>
      <w:r w:rsidRPr="00DC6911">
        <w:t>S_t</w:t>
      </w:r>
      <w:proofErr w:type="spellEnd"/>
      <w:r w:rsidRPr="00DC6911">
        <w:t>) contain the (</w:t>
      </w:r>
      <w:proofErr w:type="spellStart"/>
      <w:r w:rsidRPr="00DC6911">
        <w:t>n_t</w:t>
      </w:r>
      <w:proofErr w:type="spellEnd"/>
      <w:r w:rsidRPr="00DC6911">
        <w:t>) frames requested in segment (t), let (N) be the episode's total frame count, and let (q_{</w:t>
      </w:r>
      <w:proofErr w:type="spellStart"/>
      <w:proofErr w:type="gramStart"/>
      <w:r w:rsidRPr="00DC6911">
        <w:t>t,i</w:t>
      </w:r>
      <w:proofErr w:type="spellEnd"/>
      <w:proofErr w:type="gramEnd"/>
      <w:r w:rsidRPr="00DC6911">
        <w:t>}\</w:t>
      </w:r>
      <w:proofErr w:type="gramStart"/>
      <w:r w:rsidRPr="00DC6911">
        <w:t>in[</w:t>
      </w:r>
      <w:proofErr w:type="gramEnd"/>
      <w:r w:rsidRPr="00DC6911">
        <w:t xml:space="preserve">0,1]) and (\bar </w:t>
      </w:r>
      <w:proofErr w:type="spellStart"/>
      <w:r w:rsidRPr="00DC6911">
        <w:t>q_t</w:t>
      </w:r>
      <w:proofErr w:type="spellEnd"/>
      <w:r w:rsidRPr="00DC6911">
        <w:t>) denote the frame utility and segment-mean utility, respectively. The per-segment reward has five terms:</w:t>
      </w:r>
    </w:p>
    <w:p w14:paraId="30FC621A" w14:textId="77777777" w:rsidR="00DC6911" w:rsidRPr="00DC6911" w:rsidRDefault="00DC6911" w:rsidP="00DC6911">
      <w:pPr>
        <w:jc w:val="both"/>
      </w:pPr>
    </w:p>
    <w:p w14:paraId="29C57C75" w14:textId="39F0EF22" w:rsidR="009303D9" w:rsidRPr="00D7522C" w:rsidRDefault="009303D9" w:rsidP="00F916D4">
      <w:pPr>
        <w:pStyle w:val="BodyText"/>
        <w:rPr>
          <w:lang w:val="en-US"/>
        </w:rPr>
      </w:pP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lastRenderedPageBreak/>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 xml:space="preserve">Number footnotes separately in superscripts. Place the actual footnote at the bottom of the column in which it was </w:t>
      </w:r>
      <w:r w:rsidRPr="005B520E">
        <w:t>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1"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2"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2CBFBA3" w14:textId="77777777" w:rsidR="004F5D26" w:rsidRDefault="004F5D26" w:rsidP="001A3B3D">
      <w:r>
        <w:separator/>
      </w:r>
    </w:p>
  </w:endnote>
  <w:endnote w:type="continuationSeparator" w:id="0">
    <w:p w14:paraId="4E953487" w14:textId="77777777" w:rsidR="004F5D26" w:rsidRDefault="004F5D2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49FA5D8" w14:textId="77777777" w:rsidR="004F5D26" w:rsidRDefault="004F5D26" w:rsidP="001A3B3D">
      <w:r>
        <w:separator/>
      </w:r>
    </w:p>
  </w:footnote>
  <w:footnote w:type="continuationSeparator" w:id="0">
    <w:p w14:paraId="08C07BBB" w14:textId="77777777" w:rsidR="004F5D26" w:rsidRDefault="004F5D2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E1DD5"/>
    <w:rsid w:val="001A2EFD"/>
    <w:rsid w:val="001A3B3D"/>
    <w:rsid w:val="001B2819"/>
    <w:rsid w:val="001B67DC"/>
    <w:rsid w:val="001C33A0"/>
    <w:rsid w:val="00212A40"/>
    <w:rsid w:val="002254A9"/>
    <w:rsid w:val="00233D97"/>
    <w:rsid w:val="002347A2"/>
    <w:rsid w:val="002850E3"/>
    <w:rsid w:val="00311161"/>
    <w:rsid w:val="00354FCF"/>
    <w:rsid w:val="00385E90"/>
    <w:rsid w:val="003A19E2"/>
    <w:rsid w:val="003B2B40"/>
    <w:rsid w:val="003B4E04"/>
    <w:rsid w:val="003E122C"/>
    <w:rsid w:val="003F07B6"/>
    <w:rsid w:val="003F5A08"/>
    <w:rsid w:val="00420716"/>
    <w:rsid w:val="004325FB"/>
    <w:rsid w:val="004432BA"/>
    <w:rsid w:val="0044407E"/>
    <w:rsid w:val="00447BB9"/>
    <w:rsid w:val="0046031D"/>
    <w:rsid w:val="00473AC9"/>
    <w:rsid w:val="004D72B5"/>
    <w:rsid w:val="004F5D26"/>
    <w:rsid w:val="00506694"/>
    <w:rsid w:val="00551B7F"/>
    <w:rsid w:val="0056610F"/>
    <w:rsid w:val="00575BCA"/>
    <w:rsid w:val="005A4405"/>
    <w:rsid w:val="005B0344"/>
    <w:rsid w:val="005B3A51"/>
    <w:rsid w:val="005B520E"/>
    <w:rsid w:val="005E2800"/>
    <w:rsid w:val="00605825"/>
    <w:rsid w:val="006217A1"/>
    <w:rsid w:val="00645D22"/>
    <w:rsid w:val="00651A08"/>
    <w:rsid w:val="00654204"/>
    <w:rsid w:val="00670434"/>
    <w:rsid w:val="006A5D82"/>
    <w:rsid w:val="006B6B66"/>
    <w:rsid w:val="006B769A"/>
    <w:rsid w:val="006F6D3D"/>
    <w:rsid w:val="006F7646"/>
    <w:rsid w:val="00715BEA"/>
    <w:rsid w:val="00740EEA"/>
    <w:rsid w:val="00794804"/>
    <w:rsid w:val="007B33F1"/>
    <w:rsid w:val="007B6DDA"/>
    <w:rsid w:val="007C0308"/>
    <w:rsid w:val="007C2FF2"/>
    <w:rsid w:val="007D6232"/>
    <w:rsid w:val="007F1F99"/>
    <w:rsid w:val="007F768F"/>
    <w:rsid w:val="0080791D"/>
    <w:rsid w:val="008147B5"/>
    <w:rsid w:val="00836367"/>
    <w:rsid w:val="008403B6"/>
    <w:rsid w:val="00873603"/>
    <w:rsid w:val="0087621E"/>
    <w:rsid w:val="008A2C7D"/>
    <w:rsid w:val="008A5106"/>
    <w:rsid w:val="008B6524"/>
    <w:rsid w:val="008C4B23"/>
    <w:rsid w:val="008F6E2C"/>
    <w:rsid w:val="009303D9"/>
    <w:rsid w:val="00933C64"/>
    <w:rsid w:val="00972203"/>
    <w:rsid w:val="00974717"/>
    <w:rsid w:val="00992399"/>
    <w:rsid w:val="009A6F2E"/>
    <w:rsid w:val="009F1D79"/>
    <w:rsid w:val="00A059B3"/>
    <w:rsid w:val="00A622BE"/>
    <w:rsid w:val="00AE3409"/>
    <w:rsid w:val="00B11A60"/>
    <w:rsid w:val="00B22613"/>
    <w:rsid w:val="00B44A76"/>
    <w:rsid w:val="00B639A7"/>
    <w:rsid w:val="00B768D1"/>
    <w:rsid w:val="00BA1025"/>
    <w:rsid w:val="00BC3420"/>
    <w:rsid w:val="00BD670B"/>
    <w:rsid w:val="00BE7D3C"/>
    <w:rsid w:val="00BF5FF6"/>
    <w:rsid w:val="00C0207F"/>
    <w:rsid w:val="00C06E57"/>
    <w:rsid w:val="00C16117"/>
    <w:rsid w:val="00C16EC1"/>
    <w:rsid w:val="00C3075A"/>
    <w:rsid w:val="00C74E7E"/>
    <w:rsid w:val="00C919A4"/>
    <w:rsid w:val="00CA335D"/>
    <w:rsid w:val="00CA4392"/>
    <w:rsid w:val="00CC393F"/>
    <w:rsid w:val="00CD7FB6"/>
    <w:rsid w:val="00D11748"/>
    <w:rsid w:val="00D2176E"/>
    <w:rsid w:val="00D632BE"/>
    <w:rsid w:val="00D72D06"/>
    <w:rsid w:val="00D7522C"/>
    <w:rsid w:val="00D7536F"/>
    <w:rsid w:val="00D76668"/>
    <w:rsid w:val="00DC6911"/>
    <w:rsid w:val="00DC69E5"/>
    <w:rsid w:val="00E07383"/>
    <w:rsid w:val="00E165BC"/>
    <w:rsid w:val="00E61E12"/>
    <w:rsid w:val="00E7596C"/>
    <w:rsid w:val="00E878F2"/>
    <w:rsid w:val="00ED0149"/>
    <w:rsid w:val="00ED1C64"/>
    <w:rsid w:val="00EF7DE3"/>
    <w:rsid w:val="00F01C4A"/>
    <w:rsid w:val="00F03103"/>
    <w:rsid w:val="00F271DE"/>
    <w:rsid w:val="00F627DA"/>
    <w:rsid w:val="00F7135B"/>
    <w:rsid w:val="00F7288F"/>
    <w:rsid w:val="00F775FD"/>
    <w:rsid w:val="00F847A6"/>
    <w:rsid w:val="00F859AF"/>
    <w:rsid w:val="00F916D4"/>
    <w:rsid w:val="00F9441B"/>
    <w:rsid w:val="00F95F0C"/>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8B3DED54-2D5C-418A-A5C1-B4A4E62D677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B639A7"/>
    <w:rPr>
      <w:color w:val="0563C1" w:themeColor="hyperlink"/>
      <w:u w:val="single"/>
    </w:rPr>
  </w:style>
  <w:style w:type="character" w:styleId="UnresolvedMention">
    <w:name w:val="Unresolved Mention"/>
    <w:basedOn w:val="DefaultParagraphFont"/>
    <w:uiPriority w:val="99"/>
    <w:semiHidden/>
    <w:unhideWhenUsed/>
    <w:rsid w:val="00B639A7"/>
    <w:rPr>
      <w:color w:val="605E5C"/>
      <w:shd w:val="clear" w:color="auto" w:fill="E1DFDD"/>
    </w:rPr>
  </w:style>
  <w:style w:type="character" w:styleId="PlaceholderText">
    <w:name w:val="Placeholder Text"/>
    <w:basedOn w:val="DefaultParagraphFont"/>
    <w:uiPriority w:val="99"/>
    <w:semiHidden/>
    <w:rsid w:val="00D11748"/>
    <w:rPr>
      <w:color w:val="666666"/>
    </w:rPr>
  </w:style>
  <w:style w:type="paragraph" w:styleId="Caption">
    <w:name w:val="caption"/>
    <w:basedOn w:val="Normal"/>
    <w:next w:val="Normal"/>
    <w:unhideWhenUsed/>
    <w:qFormat/>
    <w:rsid w:val="00F859AF"/>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arxiv.org/abs/1312.6114"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codeocean.com/capsule/4989235/tree" TargetMode="External"/><Relationship Id="rId5" Type="http://purl.oclc.org/ooxml/officeDocument/relationships/webSettings" Target="webSettings.xml"/><Relationship Id="rId10" Type="http://purl.oclc.org/ooxml/officeDocument/relationships/image" Target="media/image2.svg"/><Relationship Id="rId4" Type="http://purl.oclc.org/ooxml/officeDocument/relationships/settings" Target="settings.xml"/><Relationship Id="rId9" Type="http://purl.oclc.org/ooxml/officeDocument/relationships/image" Target="media/image1.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171</TotalTime>
  <Pages>4</Pages>
  <Words>3185</Words>
  <Characters>18157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محمدامين مزيناني</cp:lastModifiedBy>
  <cp:revision>8</cp:revision>
  <dcterms:created xsi:type="dcterms:W3CDTF">2024-07-16T13:42:00Z</dcterms:created>
  <dcterms:modified xsi:type="dcterms:W3CDTF">2026-07-21T18:50:00Z</dcterms:modified>
</cp:coreProperties>
</file>