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40"/>
        <w:jc w:val="left"/>
      </w:pPr>
      <w:r>
        <w:rPr>
          <w:rFonts w:ascii="Calibri" w:cs="Calibri" w:eastAsia="Calibri" w:hAnsi="Calibri"/>
          <w:b/>
          <w:bCs/>
          <w:color w:val="C9820A"/>
          <w:spacing w:val="20"/>
          <w:sz w:val="22"/>
          <w:szCs w:val="22"/>
        </w:rPr>
        <w:t xml:space="preserve">FUNCTIONAL &amp; TECHNICAL OVERVIEW</w:t>
      </w:r>
    </w:p>
    <w:p>
      <w:pPr>
        <w:spacing w:after="300"/>
        <w:jc w:val="left"/>
      </w:pPr>
      <w:r>
        <w:rPr>
          <w:rFonts w:ascii="Cambria" w:cs="Cambria" w:eastAsia="Cambria" w:hAnsi="Cambria"/>
          <w:b/>
          <w:bCs/>
          <w:color w:val="0B1830"/>
          <w:sz w:val="60"/>
          <w:szCs w:val="60"/>
        </w:rPr>
        <w:t xml:space="preserve">Check Fraud Detector System</w:t>
      </w:r>
    </w:p>
    <w:p>
      <w:pPr>
        <w:spacing w:after="900"/>
        <w:jc w:val="left"/>
      </w:pPr>
      <w:r>
        <w:rPr>
          <w:rFonts w:ascii="Calibri" w:cs="Calibri" w:eastAsia="Calibri" w:hAnsi="Calibri"/>
          <w:i/>
          <w:iCs/>
          <w:color w:val="5B6B85"/>
          <w:sz w:val="24"/>
          <w:szCs w:val="24"/>
        </w:rPr>
        <w:t xml:space="preserve">An event-driven microservices platform that scores every check deposit in real time — combining a rules engine, machine learning, computer vision, and privacy-preserving cross-bank intelligence into one explainable decision.</w:t>
      </w:r>
    </w:p>
    <w:p>
      <w:pPr>
        <w:pBdr>
          <w:top w:val="single" w:color="D8DEE9" w:sz="6" w:space="12"/>
        </w:pBdr>
        <w:spacing w:before="3200"/>
      </w:pPr>
      <w:r>
        <w:rPr>
          <w:rFonts w:ascii="Calibri" w:cs="Calibri" w:eastAsia="Calibri" w:hAnsi="Calibri"/>
          <w:b/>
          <w:bCs/>
          <w:color w:val="111C3B"/>
          <w:sz w:val="22"/>
          <w:szCs w:val="22"/>
        </w:rPr>
        <w:t xml:space="preserve">Prepared by Mamun</w:t>
      </w:r>
    </w:p>
    <w:p>
      <w:r>
        <w:rPr>
          <w:rFonts w:ascii="Calibri" w:cs="Calibri" w:eastAsia="Calibri" w:hAnsi="Calibri"/>
          <w:color w:val="5B6B85"/>
          <w:sz w:val="20"/>
          <w:szCs w:val="20"/>
        </w:rPr>
        <w:t xml:space="preserve">August 29, 2026</w:t>
      </w:r>
    </w:p>
    <w:p>
      <w:r>
        <w:br w:type="page"/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Contents</w:t>
      </w:r>
    </w:p>
    <w:p>
      <w:pPr>
        <w:spacing w:after="140"/>
      </w:pPr>
      <w:r>
        <w:rPr>
          <w:rFonts w:ascii="Calibri" w:cs="Calibri" w:eastAsia="Calibri" w:hAnsi="Calibri"/>
          <w:color w:val="111C3B"/>
          <w:sz w:val="23"/>
          <w:szCs w:val="23"/>
        </w:rPr>
        <w:t xml:space="preserve">1. Executive Summary</w:t>
      </w:r>
    </w:p>
    <w:p>
      <w:pPr>
        <w:spacing w:after="140"/>
      </w:pPr>
      <w:r>
        <w:rPr>
          <w:rFonts w:ascii="Calibri" w:cs="Calibri" w:eastAsia="Calibri" w:hAnsi="Calibri"/>
          <w:color w:val="111C3B"/>
          <w:sz w:val="23"/>
          <w:szCs w:val="23"/>
        </w:rPr>
        <w:t xml:space="preserve">2. The Problem</w:t>
      </w:r>
    </w:p>
    <w:p>
      <w:pPr>
        <w:spacing w:after="140"/>
      </w:pPr>
      <w:r>
        <w:rPr>
          <w:rFonts w:ascii="Calibri" w:cs="Calibri" w:eastAsia="Calibri" w:hAnsi="Calibri"/>
          <w:color w:val="111C3B"/>
          <w:sz w:val="23"/>
          <w:szCs w:val="23"/>
        </w:rPr>
        <w:t xml:space="preserve">3. Solution Overview: One Explainable Score</w:t>
      </w:r>
    </w:p>
    <w:p>
      <w:pPr>
        <w:spacing w:after="140"/>
      </w:pPr>
      <w:r>
        <w:rPr>
          <w:rFonts w:ascii="Calibri" w:cs="Calibri" w:eastAsia="Calibri" w:hAnsi="Calibri"/>
          <w:color w:val="111C3B"/>
          <w:sz w:val="23"/>
          <w:szCs w:val="23"/>
        </w:rPr>
        <w:t xml:space="preserve">4. System Architecture</w:t>
      </w:r>
    </w:p>
    <w:p>
      <w:pPr>
        <w:spacing w:after="140"/>
      </w:pPr>
      <w:r>
        <w:rPr>
          <w:rFonts w:ascii="Calibri" w:cs="Calibri" w:eastAsia="Calibri" w:hAnsi="Calibri"/>
          <w:color w:val="111C3B"/>
          <w:sz w:val="23"/>
          <w:szCs w:val="23"/>
        </w:rPr>
        <w:t xml:space="preserve">5. Core Services in Detail</w:t>
      </w:r>
    </w:p>
    <w:p>
      <w:pPr>
        <w:spacing w:after="140"/>
      </w:pPr>
      <w:r>
        <w:rPr>
          <w:rFonts w:ascii="Calibri" w:cs="Calibri" w:eastAsia="Calibri" w:hAnsi="Calibri"/>
          <w:color w:val="111C3B"/>
          <w:sz w:val="23"/>
          <w:szCs w:val="23"/>
        </w:rPr>
        <w:t xml:space="preserve">6. End-to-End Workflow</w:t>
      </w:r>
    </w:p>
    <w:p>
      <w:pPr>
        <w:spacing w:after="140"/>
      </w:pPr>
      <w:r>
        <w:rPr>
          <w:rFonts w:ascii="Calibri" w:cs="Calibri" w:eastAsia="Calibri" w:hAnsi="Calibri"/>
          <w:color w:val="111C3B"/>
          <w:sz w:val="23"/>
          <w:szCs w:val="23"/>
        </w:rPr>
        <w:t xml:space="preserve">7. Data &amp; Privacy Model</w:t>
      </w:r>
    </w:p>
    <w:p>
      <w:pPr>
        <w:spacing w:after="140"/>
      </w:pPr>
      <w:r>
        <w:rPr>
          <w:rFonts w:ascii="Calibri" w:cs="Calibri" w:eastAsia="Calibri" w:hAnsi="Calibri"/>
          <w:color w:val="111C3B"/>
          <w:sz w:val="23"/>
          <w:szCs w:val="23"/>
        </w:rPr>
        <w:t xml:space="preserve">8. Web Dashboard</w:t>
      </w:r>
    </w:p>
    <w:p>
      <w:pPr>
        <w:spacing w:after="140"/>
      </w:pPr>
      <w:r>
        <w:rPr>
          <w:rFonts w:ascii="Calibri" w:cs="Calibri" w:eastAsia="Calibri" w:hAnsi="Calibri"/>
          <w:color w:val="111C3B"/>
          <w:sz w:val="23"/>
          <w:szCs w:val="23"/>
        </w:rPr>
        <w:t xml:space="preserve">9. Technology Stack &amp; Infrastructure</w:t>
      </w:r>
    </w:p>
    <w:p>
      <w:pPr>
        <w:spacing w:after="140"/>
      </w:pPr>
      <w:r>
        <w:rPr>
          <w:rFonts w:ascii="Calibri" w:cs="Calibri" w:eastAsia="Calibri" w:hAnsi="Calibri"/>
          <w:color w:val="111C3B"/>
          <w:sz w:val="23"/>
          <w:szCs w:val="23"/>
        </w:rPr>
        <w:t xml:space="preserve">10. Known Limitations &amp; Roadmap</w:t>
      </w:r>
    </w:p>
    <w:p>
      <w:r>
        <w:br w:type="page"/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Check Fraud Detector System is an event-driven, microservices-based platform that evaluates every check deposit for fraud risk the moment it is created. Rather than relying on a single rule or a single model, the system combines four independent lines of evidence — deterministic rules, machine-learned risk scores, computer-vision analysis of the check image, and privacy-preserving cross-institution intelligence — into a single, explainable decision: HOLD, MANUAL_REVIEW, or PASS.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system is designed around three ideas that recur throughout the codebase: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Event-driven by default — services communicate asynchronously over Kafka rather than direct synchronous calls, so the platform scales and degrades gracefully.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Explainable over black-box — every score returned by the consortium and ML services includes the top reasons and feature contributions behind it, not just a number.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Privacy-preserving by design — cross-institution matching is done entirely on HMAC tokens and hashes; raw PII never leaves an institution.</w:t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2. The Problem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Check fraud rarely announces itself as a single obvious red flag. A single institution often sees only one suspicious deposit in isolation, while the real pattern only becomes visible across a network of banks. The system is built to cover five recurring fraud patterns: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Duplicate presentment — the same check, or a near-identical image, deposited more than once.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Altered check suspicion — the amount or payee visible on the image does not match what was submitted.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Counterfeit / forged checks — fake templates, copied layouts, or forged signatures.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Cross-institution risk — the same payee, device, account, or image token reappearing across multiple banks.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Behavioral anomalies — unusual velocity, a new device, an out-of-region deposit, or an unusual amount/channel combination.</w:t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3. Solution Overview: One Explainable Score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moment a deposit event is created, the Fraud Detector service publishes it to the other services in parallel. Their results are combined into a final fraud score, and that score is mapped to one of three actions by the Rules Service: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500"/>
      </w:tblGrid>
      <w:tr>
        <w:trPr>
          <w:tblHeader/>
        </w:trPr>
        <w:tc>
          <w:tcPr>
            <w:tcW w:type="dxa" w:w="2400"/>
            <w:shd w:fill="0B18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50"/>
            <w:shd w:fill="0B18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500"/>
            <w:shd w:fill="0B18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shd w:fill="FBE7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182B"/>
                <w:sz w:val="20"/>
                <w:szCs w:val="20"/>
              </w:rPr>
              <w:t xml:space="preserve">HOLD</w:t>
            </w:r>
          </w:p>
        </w:tc>
        <w:tc>
          <w:tcPr>
            <w:tcW w:type="dxa" w:w="34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score ≥ 0.85  OR  duplicate presentment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Deposit is blocked pending investigation.</w:t>
            </w:r>
          </w:p>
        </w:tc>
      </w:tr>
      <w:tr>
        <w:tc>
          <w:tcPr>
            <w:tcW w:type="dxa" w:w="2400"/>
            <w:shd w:fill="FF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820A"/>
                <w:sz w:val="20"/>
                <w:szCs w:val="20"/>
              </w:rPr>
              <w:t xml:space="preserve">MANUAL_REVIEW</w:t>
            </w:r>
          </w:p>
        </w:tc>
        <w:tc>
          <w:tcPr>
            <w:tcW w:type="dxa" w:w="34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score ≥ 0.60  OR  consortium high risk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Routed to a fraud analyst queue for review.</w:t>
            </w:r>
          </w:p>
        </w:tc>
      </w:tr>
      <w:tr>
        <w:tc>
          <w:tcPr>
            <w:tcW w:type="dxa" w:w="2400"/>
            <w:shd w:fill="E4F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0"/>
                <w:szCs w:val="20"/>
              </w:rPr>
              <w:t xml:space="preserve">PASS</w:t>
            </w:r>
          </w:p>
        </w:tc>
        <w:tc>
          <w:tcPr>
            <w:tcW w:type="dxa" w:w="34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Below all thresholds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Deposit proceeds normally.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B6B85"/>
          <w:sz w:val="18"/>
          <w:szCs w:val="18"/>
        </w:rPr>
        <w:t xml:space="preserve">Table 1 — Final decision policy applied to every deposit event.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Because the policy combines a continuous score with hard triggers (duplicate presentment, consortium high risk), a deposit can be held even when its numeric score alone would not cross the HOLD threshold — this is intentional, since some fraud signals are strong enough to act on independently of the blended score.</w:t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4. System Architecture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platform follows a microservices architecture with five core services coordinated by a central orchestrator. Communication between services is entirely asynchronous, over Kafka topics — the orchestrator publishes a command for each downstream service and consumes their response events.</w:t>
      </w:r>
    </w:p>
    <w:p>
      <w:pPr>
        <w:spacing w:after="40" w:before="120"/>
        <w:jc w:val="center"/>
      </w:pPr>
      <w:r>
        <w:drawing>
          <wp:inline distT="0" distB="0" distL="0" distR="0">
            <wp:extent cx="5762625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B6B85"/>
          <w:sz w:val="18"/>
          <w:szCs w:val="18"/>
        </w:rPr>
        <w:t xml:space="preserve">Figure 1 — System architecture: the Fraud Detector orchestrates the Consortium, Image, ML, and Rules services over Kafka.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rPr>
          <w:tblHeader/>
        </w:trPr>
        <w:tc>
          <w:tcPr>
            <w:tcW w:type="dxa" w:w="2400"/>
            <w:shd w:fill="0B18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shd w:fill="0B18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50"/>
            <w:shd w:fill="0B18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C3B"/>
                <w:sz w:val="20"/>
                <w:szCs w:val="20"/>
              </w:rPr>
              <w:t xml:space="preserve">Fraud Detector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47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Spring Boot service that ingests deposit events, fans out Kafka commands to the other services, aggregates their responses, and pushes live status to the web dashboard over WebSocket.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C3B"/>
                <w:sz w:val="20"/>
                <w:szCs w:val="20"/>
              </w:rPr>
              <w:t xml:space="preserve">Consortium Service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CROSS-BANK INTEL</w:t>
            </w:r>
          </w:p>
        </w:tc>
        <w:tc>
          <w:tcPr>
            <w:tcW w:type="dxa" w:w="47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Privacy-preserving service that compares tokenized signals against a shared network history to catch fraud that only appears when multiple institutions are viewed together.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C3B"/>
                <w:sz w:val="20"/>
                <w:szCs w:val="20"/>
              </w:rPr>
              <w:t xml:space="preserve">Image Service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COMPUTER VISION</w:t>
            </w:r>
          </w:p>
        </w:tc>
        <w:tc>
          <w:tcPr>
            <w:tcW w:type="dxa" w:w="47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Analyzes the front/back check images for duplicates, OCR amount mismatches, layout anomalies, font inconsistencies, and missing signatures/endorsements.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C3B"/>
                <w:sz w:val="20"/>
                <w:szCs w:val="20"/>
              </w:rPr>
              <w:t xml:space="preserve">ML Service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RISK SCORING</w:t>
            </w:r>
          </w:p>
        </w:tc>
        <w:tc>
          <w:tcPr>
            <w:tcW w:type="dxa" w:w="47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Two-stage, calibrated XGBoost models that convert event, image, and consortium features into a fraud probability, risk band, and explanation.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C3B"/>
                <w:sz w:val="20"/>
                <w:szCs w:val="20"/>
              </w:rPr>
              <w:t xml:space="preserve">Rules Service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POLICY ENGINE</w:t>
            </w:r>
          </w:p>
        </w:tc>
        <w:tc>
          <w:tcPr>
            <w:tcW w:type="dxa" w:w="47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Deterministic rules engine that evaluates rule hits and the final score to produce the HOLD / MANUAL_REVIEW / PASS decision, without redeploying the system.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B6B85"/>
          <w:sz w:val="18"/>
          <w:szCs w:val="18"/>
        </w:rPr>
        <w:t xml:space="preserve">Table 2 — The five microservices and their responsibilities.</w:t>
      </w:r>
    </w:p>
    <w:p>
      <w:r>
        <w:br w:type="page"/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5. Core Services in Detail</w:t>
      </w:r>
    </w:p>
    <w:p>
      <w:pPr>
        <w:pStyle w:val="Heading2"/>
        <w:spacing w:after="140" w:before="300"/>
      </w:pPr>
      <w:r>
        <w:rPr>
          <w:rFonts w:ascii="Cambria" w:cs="Cambria" w:eastAsia="Cambria" w:hAnsi="Cambria"/>
          <w:b/>
          <w:bCs/>
          <w:color w:val="0B1830"/>
          <w:sz w:val="24"/>
          <w:szCs w:val="24"/>
        </w:rPr>
        <w:t xml:space="preserve">5.1 Fraud Detector (Orchestrator)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Built in Spring Boot, the Fraud Detector is the entry point for every deposit event. It: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Receives the deposit ingest request (e.g. POST /api/deposits) and persists the event.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Publishes Kafka commands to the Image and Consortium services, and waits for both responses.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Uses the combined Image + Consortium results to compute ML features, then publishes a command to the ML service.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Publishes the ML result to the Rules service, which returns the final HOLD / MANUAL_REVIEW / PASS decision.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Streams success or error results back to the originating client over WebSocket, so the web dashboard updates live.</w:t>
      </w:r>
    </w:p>
    <w:p>
      <w:pPr>
        <w:pStyle w:val="Heading2"/>
        <w:spacing w:after="140" w:before="300"/>
      </w:pPr>
      <w:r>
        <w:rPr>
          <w:rFonts w:ascii="Cambria" w:cs="Cambria" w:eastAsia="Cambria" w:hAnsi="Cambria"/>
          <w:b/>
          <w:bCs/>
          <w:color w:val="0B1830"/>
          <w:sz w:val="24"/>
          <w:szCs w:val="24"/>
        </w:rPr>
        <w:t xml:space="preserve">5.2 Consortium Service — Privacy-Preserving Cross-Bank Intelligence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Consortium Service answers a question no single bank can answer alone: has this payee, device, account, or check image appeared — suspiciously often, or in a suspicious pattern — across other institutions? It turns "single-bank view" into "network-level fraud view" while never handling raw personal data.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20A"/>
          <w:sz w:val="21"/>
          <w:szCs w:val="21"/>
        </w:rPr>
        <w:t xml:space="preserve">Privacy-preserving tokenization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Callers generate HMAC or salted-hash tokens for account, payee, payor, device, and image identifiers before sending them. The service only ever stores and compares these tokens; when it needs to reference one in an explanation, it returns a short, non-reversible preview hash rather than the token itself.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20A"/>
          <w:sz w:val="21"/>
          <w:szCs w:val="21"/>
        </w:rPr>
        <w:t xml:space="preserve">Three evidence indexes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Token index — tracks how often a token (payee, device, or image fingerprint) appears across institutions within 7-, 14-, and 30-day windows.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Relationship index — tracks whether a payor–payee pair is new or has a history of confirmed fraud.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Bank-flow index — tracks the fraud rate on a specific deposit-bank-to-clearing-bank corridor.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20A"/>
          <w:sz w:val="21"/>
          <w:szCs w:val="21"/>
        </w:rPr>
        <w:t xml:space="preserve">Cross-institution scoring</w:t>
      </w:r>
    </w:p>
    <w:p>
      <w:pPr>
        <w:spacing w:after="160" w:line="300"/>
      </w:pPr>
      <w:r>
        <w:rPr>
          <w:rFonts w:ascii="Courier New" w:cs="Courier New" w:eastAsia="Courier New" w:hAnsi="Courier New"/>
          <w:b/>
          <w:bCs/>
          <w:color w:val="C9820A"/>
          <w:sz w:val="20"/>
          <w:szCs w:val="20"/>
        </w:rPr>
        <w:t xml:space="preserve">score</w:t>
      </w:r>
      <w:r>
        <w:rPr>
          <w:rFonts w:ascii="Courier New" w:cs="Courier New" w:eastAsia="Courier New" w:hAnsi="Courier New"/>
          <w:color w:val="111C3B"/>
          <w:sz w:val="20"/>
          <w:szCs w:val="20"/>
        </w:rPr>
        <w:t xml:space="preserve">  =  0.55 × max_token_score  +  0.25 × relationship_score  +  0.20 × bank_flow_score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Token risk is weighted highest because a reused device, image, or payee is the strongest signal that a network of coordinated activity — rather than an isolated mistake — is involved. The response includes the score, the top contributing reasons, supporting linked counts, and the recency windows used, so the result is explainable rather than a bare number.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6B85"/>
          <w:sz w:val="20"/>
          <w:szCs w:val="20"/>
        </w:rPr>
        <w:t xml:space="preserve">Current implementation note: the service stores its indexes in memory for the MVP, so state resets on restart and does not scale across instances. A production deployment would move this to PostgreSQL / Redis / a feature store, per the project’s implementation notes.</w:t>
      </w:r>
    </w:p>
    <w:p>
      <w:pPr>
        <w:pStyle w:val="Heading2"/>
        <w:spacing w:after="140" w:before="300"/>
      </w:pPr>
      <w:r>
        <w:rPr>
          <w:rFonts w:ascii="Cambria" w:cs="Cambria" w:eastAsia="Cambria" w:hAnsi="Cambria"/>
          <w:b/>
          <w:bCs/>
          <w:color w:val="0B1830"/>
          <w:sz w:val="24"/>
          <w:szCs w:val="24"/>
        </w:rPr>
        <w:t xml:space="preserve">5.3 Image Service — Computer Vision on the Check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Given the front and (optionally) back image of a deposited check, this FastAPI service extracts visual and textual evidence and returns fraud-relevant image signals — not a final decision. It performs five checks: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Duplicate detection — perceptual hashing (pHash) flags a reused or near-duplicate check image, useful for catching duplicate presentment.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OCR amount verification — Tesseract OCR (after grayscale, resize, blur, and threshold preprocessing) extracts money-like values from the image and flags a mismatch against the submitted amount.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Layout anomaly detection — edge and Hough line detection estimate whether the check’s structure (lines, boxes, signature area) looks like a normal check.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Font anomaly detection — the coefficient of variation in text-component heights flags inconsistent font sizes, which can indicate pasted or edited text.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Signature &amp; endorsement presence — edge/ink density in the expected signature and endorsement regions flags a likely-missing signature or endorsement.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6B85"/>
          <w:sz w:val="20"/>
          <w:szCs w:val="20"/>
        </w:rPr>
        <w:t xml:space="preserve">This is explicitly an MVP heuristic system rather than a forensic-grade authentication engine — thresholds are not yet calibrated on real check images, and the in-memory duplicate-hash store is not persistent.</w:t>
      </w:r>
    </w:p>
    <w:p>
      <w:pPr>
        <w:pStyle w:val="Heading2"/>
        <w:spacing w:after="140" w:before="300"/>
      </w:pPr>
      <w:r>
        <w:rPr>
          <w:rFonts w:ascii="Cambria" w:cs="Cambria" w:eastAsia="Cambria" w:hAnsi="Cambria"/>
          <w:b/>
          <w:bCs/>
          <w:color w:val="0B1830"/>
          <w:sz w:val="24"/>
          <w:szCs w:val="24"/>
        </w:rPr>
        <w:t xml:space="preserve">5.4 ML Service — Two-Stage Calibrated Risk Scoring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ML Service answers: how risky is this check event? It supports deposit scoring, in-clearing scoring, and a combined score, using two XGBoost classifiers trained on tabular features and wrapped with isotonic probability calibration (CalibratedClassifierCV).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Deposit model — early risk signal using transaction, behavioral, image, and rule-engine features (amount, velocity, new-device indicator, image duplicate/OCR/layout/font/signature scores, rule hit counts, channel, etc.).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In-clearing model — a downstream refinement using clearing-stage signals (deposit score, days since deposit, amount match, drawee-bank prior fraud, cross-bank risk, return codes, chargebacks, loss amount).</w:t>
      </w:r>
    </w:p>
    <w:p>
      <w:pPr>
        <w:spacing w:after="160" w:line="300"/>
      </w:pPr>
      <w:r>
        <w:rPr>
          <w:rFonts w:ascii="Courier New" w:cs="Courier New" w:eastAsia="Courier New" w:hAnsi="Courier New"/>
          <w:b/>
          <w:bCs/>
          <w:color w:val="C9820A"/>
          <w:sz w:val="20"/>
          <w:szCs w:val="20"/>
        </w:rPr>
        <w:t xml:space="preserve">final_prob</w:t>
      </w:r>
      <w:r>
        <w:rPr>
          <w:rFonts w:ascii="Courier New" w:cs="Courier New" w:eastAsia="Courier New" w:hAnsi="Courier New"/>
          <w:color w:val="111C3B"/>
          <w:sz w:val="20"/>
          <w:szCs w:val="20"/>
        </w:rPr>
        <w:t xml:space="preserve">  =  max( deposit_prob,  0.45 × deposit_prob + 0.55 × in_clearing_prob )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This combination guarantees the final score never falls below the original deposit-stage risk, while giving the more evidence-rich in-clearing model slightly more influence when it is available. The resulting probability is mapped to an operational risk band: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30"/>
      </w:tblGrid>
      <w:tr>
        <w:trPr>
          <w:tblHeader/>
        </w:trPr>
        <w:tc>
          <w:tcPr>
            <w:tcW w:type="dxa" w:w="2340"/>
            <w:shd w:fill="0B18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Band</w:t>
            </w:r>
          </w:p>
        </w:tc>
        <w:tc>
          <w:tcPr>
            <w:tcW w:type="dxa" w:w="2340"/>
            <w:shd w:fill="0B18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340"/>
            <w:shd w:fill="0B18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2330"/>
            <w:shd w:fill="0B18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C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≥ 0.85</w:t>
            </w:r>
          </w:p>
        </w:tc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182B"/>
                <w:sz w:val="20"/>
                <w:szCs w:val="20"/>
              </w:rPr>
              <w:t xml:space="preserve">HOLD</w:t>
            </w:r>
          </w:p>
        </w:tc>
        <w:tc>
          <w:tcPr>
            <w:tcW w:type="dxa" w:w="233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Blocked pending review</w:t>
            </w:r>
          </w:p>
        </w:tc>
      </w:tr>
      <w:tr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C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≥ 0.60</w:t>
            </w:r>
          </w:p>
        </w:tc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820A"/>
                <w:sz w:val="20"/>
                <w:szCs w:val="20"/>
              </w:rPr>
              <w:t xml:space="preserve">MANUAL_REVIEW</w:t>
            </w:r>
          </w:p>
        </w:tc>
        <w:tc>
          <w:tcPr>
            <w:tcW w:type="dxa" w:w="233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Analyst queue</w:t>
            </w:r>
          </w:p>
        </w:tc>
      </w:tr>
      <w:tr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C3B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≥ 0.30</w:t>
            </w:r>
          </w:p>
        </w:tc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0"/>
                <w:szCs w:val="20"/>
              </w:rPr>
              <w:t xml:space="preserve">PASS</w:t>
            </w:r>
          </w:p>
        </w:tc>
        <w:tc>
          <w:tcPr>
            <w:tcW w:type="dxa" w:w="233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Proceeds normally</w:t>
            </w:r>
          </w:p>
        </w:tc>
      </w:tr>
      <w:tr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C3B"/>
                <w:sz w:val="20"/>
                <w:szCs w:val="20"/>
              </w:rPr>
              <w:t xml:space="preserve">MINIMAL</w:t>
            </w:r>
          </w:p>
        </w:tc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&lt; 0.30</w:t>
            </w:r>
          </w:p>
        </w:tc>
        <w:tc>
          <w:tcPr>
            <w:tcW w:type="dxa" w:w="23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0"/>
                <w:szCs w:val="20"/>
              </w:rPr>
              <w:t xml:space="preserve">PASS</w:t>
            </w:r>
          </w:p>
        </w:tc>
        <w:tc>
          <w:tcPr>
            <w:tcW w:type="dxa" w:w="233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C3B"/>
                <w:sz w:val="20"/>
                <w:szCs w:val="20"/>
              </w:rPr>
              <w:t xml:space="preserve">Proceeds normally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B6B85"/>
          <w:sz w:val="18"/>
          <w:szCs w:val="18"/>
        </w:rPr>
        <w:t xml:space="preserve">Table 3 — ML risk bands and the actions they map to.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service also returns approximate, analyst-friendly feature contributions (feature value × explanation weight) — for example image_duplicate_score, critical_rule_hit_count, or payee_fraud_count_30d — so a human reviewer can see why an event scored the way it did.</w:t>
      </w:r>
    </w:p>
    <w:p>
      <w:pPr>
        <w:pStyle w:val="Heading2"/>
        <w:spacing w:after="140" w:before="300"/>
      </w:pPr>
      <w:r>
        <w:rPr>
          <w:rFonts w:ascii="Cambria" w:cs="Cambria" w:eastAsia="Cambria" w:hAnsi="Cambria"/>
          <w:b/>
          <w:bCs/>
          <w:color w:val="0B1830"/>
          <w:sz w:val="24"/>
          <w:szCs w:val="24"/>
        </w:rPr>
        <w:t xml:space="preserve">5.5 Rules Service — The Policy Engine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Rules Service evaluates deterministic checks (such as MICR routing/account/serial matches for duplicate presentment) alongside the ML risk score and consortium result to produce the system’s final action. Because it is a separate service, rule thresholds and logic can be updated without redeploying the ML or image services.</w:t>
      </w:r>
    </w:p>
    <w:p>
      <w:r>
        <w:br w:type="page"/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6. End-to-End Workflow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A single deposit event flows through the system as follows: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A deposit event arrives at the Fraud Detector (e.g. from the web app or an API call) and is persisted.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Fraud Detector publishes commands to the Image Service and the Consortium Service in parallel and waits for both responses.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Using the Image and Consortium results, the Fraud Detector assembles the feature set for scoring and publishes a command to the ML Service.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ML Service returns a calibrated fraud probability, risk band, and explanation.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Fraud Detector publishes the combined evidence to the Rules Service, which applies the decision policy (Table 1) and returns the final action.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result — HOLD, MANUAL_REVIEW, or PASS — is streamed back to the client over WebSocket and reflected live on the dashboard.</w:t>
      </w:r>
    </w:p>
    <w:p>
      <w:pPr>
        <w:spacing w:after="40" w:before="120"/>
        <w:jc w:val="center"/>
      </w:pPr>
      <w:r>
        <w:drawing>
          <wp:inline distT="0" distB="0" distL="0" distR="0">
            <wp:extent cx="5762625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B6B85"/>
          <w:sz w:val="18"/>
          <w:szCs w:val="18"/>
        </w:rPr>
        <w:t xml:space="preserve">Figure 2 — Sequence diagram of a single deposit event moving through the Fraud Detector, Image, Consortium, ML, and Rules services.</w:t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7. Data &amp; Privacy Model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Every deposit event carries identifiers such as accountToken, payeeToken, payorToken, deviceToken, and imageFingerprint — all expected to already be HMAC or salted-hash tokens by the time they reach the consortium layer. The service stores and compares only these tokens, aggregate counts, derived risk scores, and fraud metadata; it does not store raw cross-institution PII.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PostgreSQL schema (db/schema.sql) persists deposit events, scores, rule hits, alerts, cases, and an audit trail, giving the rules and case-management layers a durable record to work from even though the consortium indexes themselves are currently in-memory.</w:t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8. Web Dashboard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A React + TypeScript single-page application (check_fraud_app/) gives analysts a live view of the system: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Connects to the Fraud Detector over WebSocket, so new deposit events and their scores appear on the dashboard without polling or a manual refresh.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Lets a user submit a new deposit event from a form and watch it move through consortium, image, ML, and rules scoring in real time.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Displays events in a color-coded table by decision (HOLD / MANUAL_REVIEW / PASS) with the contributing score, so an analyst can triage a queue quickly.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State is managed with Redux (fraudEventsSlice) and built with Vite; it is containerized alongside the backend services via nginx.</w:t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9. Technology Stack &amp; Infrastructure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Fraud Detector &amp; Rules Service — Spring Boot (Kotlin/Java, Gradle).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Consortium, Image, and ML services — Python, FastAPI.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Messaging — Apache Kafka, for all inter-service communication.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Storage — PostgreSQL (events, scores, rule hits, alerts, cases, audit).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Frontend — React + TypeScript + Vite, Redux, WebSocket client.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ML training — XGBoost with isotonic calibration (train_model_check_fraud.py, train_model_in_clearing.py).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Synthetic data — a generator script producing realistic multi-bank deposit and fraud scenarios for development and demos.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Observability — Prometheus metrics with a Grafana-ready setup.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Local orchestration — Docker Compose (PostgreSQL, Kafka, API, ML, image, consortium, Prometheus, Grafana).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Cloud infrastructure — Terraform modules for AWS (ALB, ECS, ECR, IAM, MSK, networking, RDS, S3, Secrets Manager).</w:t>
      </w:r>
    </w:p>
    <w:p>
      <w:pPr>
        <w:pStyle w:val="Heading1"/>
        <w:pBdr>
          <w:bottom w:val="single" w:color="C9820A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0B1830"/>
          <w:sz w:val="30"/>
          <w:szCs w:val="30"/>
        </w:rPr>
        <w:t xml:space="preserve">10. Known Limitations &amp; Roadmap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The codebase is explicit about which pieces are MVP-level placeholders and what replacing them with production-grade components would involve: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20A"/>
          <w:sz w:val="21"/>
          <w:szCs w:val="21"/>
        </w:rPr>
        <w:t xml:space="preserve">Replacing the demo ML with real ML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Start from an interpretable Logistic Regression or XGBoost model on tabular features (already in place).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Add real image embeddings — perceptual hash, OCR legal/courtesy amount mismatch, signature/endorsement detection, layout anomaly scoring.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Add graph/network features — account/payee/device/check-token degree, fraud-neighbor counts, connected-component risk.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Calibrate scores with Platt scaling or isotonic regression (isotonic calibration is already used).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Track precision, recall, false-positive rate, alert volume, latency, and explanation coverage in production.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20A"/>
          <w:sz w:val="21"/>
          <w:szCs w:val="21"/>
        </w:rPr>
        <w:t xml:space="preserve">Production hardening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KMS-backed HMAC keys with per-institution token namespaces and key rotation.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Row-level security and immutable audit logs.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Dead-letter Kafka topics and idempotent event ingestion.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Async score aggregation, a model registry, and champion/challenger deployment.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Data-drift and feature-drift monitoring.</w:t>
      </w:r>
    </w:p>
    <w:p>
      <w:pPr>
        <w:spacing w:after="160" w:line="300"/>
      </w:pPr>
      <w:r>
        <w:rPr>
          <w:rFonts w:ascii="Calibri" w:cs="Calibri" w:eastAsia="Calibri" w:hAnsi="Calibri"/>
          <w:color w:val="111C3B"/>
          <w:sz w:val="22"/>
          <w:szCs w:val="22"/>
        </w:rPr>
        <w:t xml:space="preserve">Together, these items describe the path from the current event-driven MVP — which already demonstrates the full decision loop end to end — to a system that could run in a real fraud-operations environment.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C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528e24b85ec0f22017073bbfd618bdb4709007.png"/><Relationship Id="rId8" Type="http://schemas.openxmlformats.org/officeDocument/2006/relationships/image" Target="media/a86363469ac9384d500acc44d712aa1e16008bf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Fraud Detector System — Functional Overview</dc:title>
  <dc:creator>Mamun</dc:creator>
  <cp:lastModifiedBy>Un-named</cp:lastModifiedBy>
  <cp:revision>1</cp:revision>
  <dcterms:created xsi:type="dcterms:W3CDTF">2026-08-29T16:54:34.424Z</dcterms:created>
  <dcterms:modified xsi:type="dcterms:W3CDTF">2026-08-29T16:54:34.425Z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