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Here is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Price_in_million</w:t>
            </w:r>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Landsize</w:t>
            </w:r>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r w:rsidR="001F48BB">
        <w:rPr>
          <w:rFonts w:ascii="Times New Roman" w:eastAsia="Times New Roman" w:hAnsi="Times New Roman" w:cs="Times New Roman"/>
          <w:kern w:val="0"/>
          <w:lang w:val="en-US"/>
          <w14:ligatures w14:val="none"/>
        </w:rPr>
        <w:t>choosen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This presents a major research gap that requires updated  analysis using current datasets. Our research subject is interesting because it analyzes whether the traditional urban economics principle—properties closer to the CBD are priced higher—is still applicable in Melbourne's current property market. The findings will benefit buyers ,planners and many more. Future research could include real-time accessibility measurements, transportation improvements, and neighborhood-level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4A55FD">
        <w:fldChar w:fldCharType="begin"/>
      </w:r>
      <w:r w:rsidR="004A55FD">
        <w:instrText xml:space="preserve"> SEQ Figure \* ARABIC </w:instrText>
      </w:r>
      <w:r w:rsidR="004A55FD">
        <w:fldChar w:fldCharType="separate"/>
      </w:r>
      <w:r w:rsidR="00346CA4">
        <w:rPr>
          <w:noProof/>
        </w:rPr>
        <w:t>1</w:t>
      </w:r>
      <w:r w:rsidR="004A55FD">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2</w:t>
      </w:r>
      <w:r w:rsidR="004A55FD">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3</w:t>
      </w:r>
      <w:r w:rsidR="004A55FD">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4</w:t>
      </w:r>
      <w:r w:rsidR="004A55FD">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4A55FD">
        <w:fldChar w:fldCharType="begin"/>
      </w:r>
      <w:r w:rsidR="004A55FD">
        <w:instrText xml:space="preserve"> SEQ Figure \* ARABIC </w:instrText>
      </w:r>
      <w:r w:rsidR="004A55FD">
        <w:fldChar w:fldCharType="separate"/>
      </w:r>
      <w:r>
        <w:rPr>
          <w:noProof/>
        </w:rPr>
        <w:t>5</w:t>
      </w:r>
      <w:r w:rsidR="004A55FD">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The scatter plot shows a negative correlation: prices decrease as distance from the CBD increases.  The histograms indicate non-normal distributions: distance is right-skewed, and price is considerably right-skewed, showing that the majority of residences are within 10 kilometers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The majority of properties are less than $2 million and located within 15 kilometers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[−0.146,−0.029]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8A368" w14:textId="77777777" w:rsidR="0098458D" w:rsidRDefault="0098458D" w:rsidP="000F7A9B">
      <w:r>
        <w:separator/>
      </w:r>
    </w:p>
  </w:endnote>
  <w:endnote w:type="continuationSeparator" w:id="0">
    <w:p w14:paraId="077DAEFC" w14:textId="77777777" w:rsidR="0098458D" w:rsidRDefault="0098458D" w:rsidP="000F7A9B">
      <w:r>
        <w:continuationSeparator/>
      </w:r>
    </w:p>
  </w:endnote>
  <w:endnote w:type="continuationNotice" w:id="1">
    <w:p w14:paraId="7672D962" w14:textId="77777777" w:rsidR="0098458D" w:rsidRDefault="009845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9F3DD" w14:textId="77777777" w:rsidR="0098458D" w:rsidRDefault="0098458D" w:rsidP="000F7A9B">
      <w:r>
        <w:separator/>
      </w:r>
    </w:p>
  </w:footnote>
  <w:footnote w:type="continuationSeparator" w:id="0">
    <w:p w14:paraId="1096D006" w14:textId="77777777" w:rsidR="0098458D" w:rsidRDefault="0098458D" w:rsidP="000F7A9B">
      <w:r>
        <w:continuationSeparator/>
      </w:r>
    </w:p>
  </w:footnote>
  <w:footnote w:type="continuationNotice" w:id="1">
    <w:p w14:paraId="031354B5" w14:textId="77777777" w:rsidR="0098458D" w:rsidRDefault="0098458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8458D"/>
    <w:rsid w:val="009A4C41"/>
    <w:rsid w:val="009C2821"/>
    <w:rsid w:val="009E4512"/>
    <w:rsid w:val="009F760B"/>
    <w:rsid w:val="00A315D2"/>
    <w:rsid w:val="00A508EB"/>
    <w:rsid w:val="00A65C3D"/>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12</Pages>
  <Words>2778</Words>
  <Characters>15836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9</cp:revision>
  <dcterms:created xsi:type="dcterms:W3CDTF">2025-12-07T13:08:00Z</dcterms:created>
  <dcterms:modified xsi:type="dcterms:W3CDTF">2025-12-09T18:49:00Z</dcterms:modified>
</cp:coreProperties>
</file>