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4C8C00"/>
          <w:sz w:val="48"/>
          <w:szCs w:val="48"/>
        </w:rPr>
        <w:t xml:space="preserve">MAMUN BINGO APP</w:t>
      </w:r>
    </w:p>
    <w:p>
      <w:pPr>
        <w:spacing w:before="0" w:after="80"/>
      </w:pPr>
      <w:r>
        <w:rPr>
          <w:rFonts w:ascii="Arial" w:cs="Arial" w:eastAsia="Arial" w:hAnsi="Arial"/>
          <w:b/>
          <w:bCs/>
          <w:color w:val="1A1A1A"/>
          <w:sz w:val="32"/>
          <w:szCs w:val="32"/>
        </w:rPr>
        <w:t xml:space="preserve">Live Bingo Header — Design Specification</w:t>
      </w:r>
    </w:p>
    <w:p>
      <w:pPr>
        <w:spacing w:before="0" w:after="560"/>
      </w:pPr>
      <w:r>
        <w:rPr>
          <w:rFonts w:ascii="Arial" w:cs="Arial" w:eastAsia="Arial" w:hAnsi="Arial"/>
          <w:color w:val="64748B"/>
          <w:sz w:val="20"/>
          <w:szCs w:val="20"/>
        </w:rPr>
        <w:t xml:space="preserve">3 Premium Android / Jetpack Compose Variants  ·  Material 3  ·  Green + White Theme</w:t>
      </w:r>
    </w:p>
    <w:p>
      <w:pPr>
        <w:pBdr>
          <w:bottom w:val="single" w:color="4C8C00" w:sz="6" w:space="1"/>
        </w:pBdr>
        <w:spacing w:before="200" w:after="200"/>
      </w:pPr>
      <w:r>
        <w:t xml:space="preserve"/>
      </w:r>
    </w:p>
    <w:p>
      <w:pPr>
        <w:pBdr>
          <w:bottom w:val="single" w:color="4C8C00" w:sz="10" w:space="4"/>
        </w:pBdr>
        <w:spacing w:before="440" w:after="120"/>
      </w:pPr>
      <w:r>
        <w:rPr>
          <w:rFonts w:ascii="Arial" w:cs="Arial" w:eastAsia="Arial" w:hAnsi="Arial"/>
          <w:b/>
          <w:bCs/>
          <w:color w:val="2D5400"/>
          <w:sz w:val="36"/>
          <w:szCs w:val="36"/>
        </w:rPr>
        <w:t xml:space="preserve">Overview</w:t>
      </w:r>
    </w:p>
    <w:p>
      <w:pPr>
        <w:spacing w:before="40" w:after="60"/>
      </w:pPr>
      <w:r>
        <w:rPr>
          <w:rFonts w:ascii="Arial" w:cs="Arial" w:eastAsia="Arial" w:hAnsi="Arial"/>
          <w:color w:val="1A1A1A"/>
          <w:sz w:val="20"/>
          <w:szCs w:val="20"/>
        </w:rPr>
        <w:t xml:space="preserve">This document defines three distinct premium header variants for the live bingo calling screen of the Mamun Bingo App. Each variant is designed for direct conversion into Jetpack Compose using Material 3 tokens, Dimens.kt spacing, and Color.kt values already present in the project.</w:t>
      </w:r>
    </w:p>
    <w:p>
      <w:pPr>
        <w:spacing w:before="40" w:after="60"/>
      </w:pPr>
      <w:r>
        <w:rPr>
          <w:rFonts w:ascii="Arial" w:cs="Arial" w:eastAsia="Arial" w:hAnsi="Arial"/>
          <w:color w:val="1A1A1A"/>
          <w:sz w:val="20"/>
          <w:szCs w:val="20"/>
        </w:rPr>
        <w:t xml:space="preserve">All three variants share the same content model, color family, and readability standards, but deliver a different spatial hierarchy and personality. Designers and developers should treat this spec as the single source of truth before writing any Compose code.</w:t>
      </w:r>
    </w:p>
    <w:p>
      <w:pPr>
        <w:spacing w:before="0" w:after="60"/>
      </w:pPr>
      <w:r>
        <w:t xml:space="preserve"/>
      </w:r>
    </w:p>
    <w:p>
      <w:pPr>
        <w:pBdr>
          <w:bottom w:val="single" w:color="4C8C00" w:sz="10" w:space="4"/>
        </w:pBdr>
        <w:spacing w:before="440" w:after="120"/>
      </w:pPr>
      <w:r>
        <w:rPr>
          <w:rFonts w:ascii="Arial" w:cs="Arial" w:eastAsia="Arial" w:hAnsi="Arial"/>
          <w:b/>
          <w:bCs/>
          <w:color w:val="2D5400"/>
          <w:sz w:val="36"/>
          <w:szCs w:val="36"/>
        </w:rPr>
        <w:t xml:space="preserve">Color Reference</w:t>
      </w:r>
    </w:p>
    <w:p>
      <w:pPr>
        <w:spacing w:before="40" w:after="60"/>
      </w:pPr>
      <w:r>
        <w:rPr>
          <w:rFonts w:ascii="Arial" w:cs="Arial" w:eastAsia="Arial" w:hAnsi="Arial"/>
          <w:color w:val="1A1A1A"/>
          <w:sz w:val="20"/>
          <w:szCs w:val="20"/>
        </w:rPr>
        <w:t xml:space="preserve">All colors map directly to existing tokens in Color.kt. No new tokens are introduced.</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4C8C00"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#4C8C00</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Primary — card border, number color, badge border</w:t>
            </w:r>
          </w:p>
        </w:tc>
      </w:tr>
      <w:tr>
        <w:tc>
          <w:tcPr>
            <w:tcW w:type="dxa" w:w="600"/>
            <w:tcBorders>
              <w:top w:val="none" w:color="FFFFFF" w:sz="0"/>
              <w:left w:val="none" w:color="FFFFFF" w:sz="0"/>
              <w:bottom w:val="none" w:color="FFFFFF" w:sz="0"/>
              <w:right w:val="none" w:color="FFFFFF" w:sz="0"/>
            </w:tcBorders>
            <w:shd w:fill="2D5400"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#2D5400</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PrimaryDark — dark accents, bottom-bar label</w:t>
            </w:r>
          </w:p>
        </w:tc>
      </w:tr>
      <w:tr>
        <w:tc>
          <w:tcPr>
            <w:tcW w:type="dxa" w:w="600"/>
            <w:tcBorders>
              <w:top w:val="none" w:color="FFFFFF" w:sz="0"/>
              <w:left w:val="none" w:color="FFFFFF" w:sz="0"/>
              <w:bottom w:val="none" w:color="FFFFFF" w:sz="0"/>
              <w:right w:val="none" w:color="FFFFFF" w:sz="0"/>
            </w:tcBorders>
            <w:shd w:fill="3C6B17"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#3C6B17</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PrimaryBorder — divider lines, subtle rules</w:t>
            </w:r>
          </w:p>
        </w:tc>
      </w:tr>
      <w:tr>
        <w:tc>
          <w:tcPr>
            <w:tcW w:type="dxa" w:w="600"/>
            <w:tcBorders>
              <w:top w:val="none" w:color="FFFFFF" w:sz="0"/>
              <w:left w:val="none" w:color="FFFFFF" w:sz="0"/>
              <w:bottom w:val="none" w:color="FFFFFF" w:sz="0"/>
              <w:right w:val="none" w:color="FFFFFF" w:sz="0"/>
            </w:tcBorders>
            <w:shd w:fill="D9E9B4"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#D9E9B4</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PrimaryContainer — soft tint backgrounds, column badge fill</w:t>
            </w:r>
          </w:p>
        </w:tc>
      </w:tr>
      <w:tr>
        <w:tc>
          <w:tcPr>
            <w:tcW w:type="dxa" w:w="600"/>
            <w:tcBorders>
              <w:top w:val="none" w:color="FFFFFF" w:sz="0"/>
              <w:left w:val="none" w:color="FFFFFF" w:sz="0"/>
              <w:bottom w:val="none" w:color="FFFFFF" w:sz="0"/>
              <w:right w:val="none" w:color="FFFFFF" w:sz="0"/>
            </w:tcBorders>
            <w:shd w:fill="EEF6E7"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#EEF6E7</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IconContainerBg — lightest surface tint</w:t>
            </w:r>
          </w:p>
        </w:tc>
      </w:tr>
      <w:tr>
        <w:tc>
          <w:tcPr>
            <w:tcW w:type="dxa" w:w="6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#FFFFFF</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Surface — card background</w:t>
            </w:r>
          </w:p>
        </w:tc>
      </w:tr>
      <w:tr>
        <w:tc>
          <w:tcPr>
            <w:tcW w:type="dxa" w:w="600"/>
            <w:tcBorders>
              <w:top w:val="none" w:color="FFFFFF" w:sz="0"/>
              <w:left w:val="none" w:color="FFFFFF" w:sz="0"/>
              <w:bottom w:val="none" w:color="FFFFFF" w:sz="0"/>
              <w:right w:val="none" w:color="FFFFFF" w:sz="0"/>
            </w:tcBorders>
            <w:shd w:fill="1A1A1A"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#1A1A1A</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OnSurface — primary readable text</w:t>
            </w:r>
          </w:p>
        </w:tc>
      </w:tr>
      <w:tr>
        <w:tc>
          <w:tcPr>
            <w:tcW w:type="dxa" w:w="600"/>
            <w:tcBorders>
              <w:top w:val="none" w:color="FFFFFF" w:sz="0"/>
              <w:left w:val="none" w:color="FFFFFF" w:sz="0"/>
              <w:bottom w:val="none" w:color="FFFFFF" w:sz="0"/>
              <w:right w:val="none" w:color="FFFFFF" w:sz="0"/>
            </w:tcBorders>
            <w:shd w:fill="64748B"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#64748B</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(Slate600) — secondary / meta text</w:t>
            </w:r>
          </w:p>
        </w:tc>
      </w:tr>
      <w:tr>
        <w:tc>
          <w:tcPr>
            <w:tcW w:type="dxa" w:w="600"/>
            <w:tcBorders>
              <w:top w:val="none" w:color="FFFFFF" w:sz="0"/>
              <w:left w:val="none" w:color="FFFFFF" w:sz="0"/>
              <w:bottom w:val="none" w:color="FFFFFF" w:sz="0"/>
              <w:right w:val="none" w:color="FFFFFF" w:sz="0"/>
            </w:tcBorders>
            <w:shd w:fill="C62828"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#C62828</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Secondary — LIVE dot only</w:t>
            </w:r>
          </w:p>
        </w:tc>
      </w:tr>
      <w:tr>
        <w:tc>
          <w:tcPr>
            <w:tcW w:type="dxa" w:w="600"/>
            <w:tcBorders>
              <w:top w:val="none" w:color="FFFFFF" w:sz="0"/>
              <w:left w:val="none" w:color="FFFFFF" w:sz="0"/>
              <w:bottom w:val="none" w:color="FFFFFF" w:sz="0"/>
              <w:right w:val="none" w:color="FFFFFF" w:sz="0"/>
            </w:tcBorders>
            <w:shd w:fill="E2E8F0" w:val="clear"/>
            <w:tcMar>
              <w:top w:type="dxa" w:w="60"/>
              <w:left w:type="dxa" w:w="60"/>
              <w:bottom w:type="dxa" w:w="60"/>
              <w:right w:type="dxa" w:w="60"/>
            </w:tcMar>
          </w:tcPr>
          <w:p>
            <w:r>
              <w:t xml:space="preserve"/>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urier New" w:cs="Courier New" w:eastAsia="Courier New" w:hAnsi="Courier New"/>
                <w:color w:val="1A1A1A"/>
                <w:sz w:val="18"/>
                <w:szCs w:val="18"/>
              </w:rPr>
              <w:t xml:space="preserve">#E2E8F0</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4748B"/>
                <w:sz w:val="18"/>
                <w:szCs w:val="18"/>
              </w:rPr>
              <w:t xml:space="preserve">(Slate200) — hairline dividers</w:t>
            </w:r>
          </w:p>
        </w:tc>
      </w:tr>
    </w:tbl>
    <w:p>
      <w:pPr>
        <w:spacing w:before="0" w:after="60"/>
      </w:pPr>
      <w:r>
        <w:t xml:space="preserve"/>
      </w:r>
    </w:p>
    <w:p>
      <w:pPr>
        <w:pBdr>
          <w:bottom w:val="single" w:color="4C8C00" w:sz="10" w:space="4"/>
        </w:pBdr>
        <w:spacing w:before="440" w:after="120"/>
      </w:pPr>
      <w:r>
        <w:rPr>
          <w:rFonts w:ascii="Arial" w:cs="Arial" w:eastAsia="Arial" w:hAnsi="Arial"/>
          <w:b/>
          <w:bCs/>
          <w:color w:val="2D5400"/>
          <w:sz w:val="36"/>
          <w:szCs w:val="36"/>
        </w:rPr>
        <w:t xml:space="preserve">Spacing &amp; Radius Reference</w:t>
      </w:r>
    </w:p>
    <w:p>
      <w:pPr>
        <w:spacing w:before="40" w:after="60"/>
      </w:pPr>
      <w:r>
        <w:rPr>
          <w:rFonts w:ascii="Arial" w:cs="Arial" w:eastAsia="Arial" w:hAnsi="Arial"/>
          <w:color w:val="1A1A1A"/>
          <w:sz w:val="20"/>
          <w:szCs w:val="20"/>
        </w:rPr>
        <w:t xml:space="preserve">All spacing tokens map to Dimens.kt. Use these exact values in Compose.</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spacing4</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4 dp  — icon-to-label gap, dot-to-text gap</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spacing8</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8 dp  — inner badge padding, footer gap</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spacing12</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dp — column block internal padding</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spacing16</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 horizontal screen edge padding (screenHorizontalPadding)</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spacing24</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24 dp — number block vertical padding</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radiusCard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 card corner radius</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radiusPill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20 dp — LIVE badge corner radius</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radiusSmall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dp — column block corner radius</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topBarHeight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64 dp — target total header height (normal state)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buttonHeight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48 dp — minimum touch target for auto-call hint row</w:t>
            </w:r>
          </w:p>
        </w:tc>
      </w:tr>
    </w:tbl>
    <w:p>
      <w:pPr>
        <w:spacing w:before="0" w:after="60"/>
      </w:pPr>
      <w:r>
        <w:t xml:space="preserve"/>
      </w:r>
    </w:p>
    <w:p>
      <w:pPr>
        <w:pBdr>
          <w:bottom w:val="single" w:color="4C8C00" w:sz="10" w:space="4"/>
        </w:pBdr>
        <w:spacing w:before="440" w:after="120"/>
      </w:pPr>
      <w:r>
        <w:rPr>
          <w:rFonts w:ascii="Arial" w:cs="Arial" w:eastAsia="Arial" w:hAnsi="Arial"/>
          <w:b/>
          <w:bCs/>
          <w:color w:val="2D5400"/>
          <w:sz w:val="36"/>
          <w:szCs w:val="36"/>
        </w:rPr>
        <w:t xml:space="preserve">Typography Reference</w:t>
      </w:r>
    </w:p>
    <w:p>
      <w:pPr>
        <w:spacing w:before="40" w:after="60"/>
      </w:pPr>
      <w:r>
        <w:rPr>
          <w:rFonts w:ascii="Arial" w:cs="Arial" w:eastAsia="Arial" w:hAnsi="Arial"/>
          <w:color w:val="1A1A1A"/>
          <w:sz w:val="20"/>
          <w:szCs w:val="20"/>
        </w:rPr>
        <w:t xml:space="preserve">All type styles map to Typography.kt and AppTextStyles. Font family: Nunito (LiveFonts.Nunito).</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displayLarge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57 sp / SemiBold — the called number (N 43). Use for number only.</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headlineMedium</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28 sp / SemiBold — column letter (N). Superscript position, aligned to number cap-height.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titleLarge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22 sp / SemiBold — fallback number size on compact height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labelLarge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14 sp / SemiBold — "LIVE" badge text, count "14 / 22"</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bodyMedium</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14 sp / Normal   — "Last called: 3 min ago" text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labelSmall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11 sp / Medium   — "Tap to auto-call" hint, column tag text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labelMedium</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sp / Medium   — call count in compact mode</w:t>
            </w:r>
          </w:p>
        </w:tc>
      </w:tr>
    </w:tbl>
    <w:p>
      <w:pPr>
        <w:spacing w:before="0" w:after="60"/>
      </w:pPr>
      <w:r>
        <w:t xml:space="preserve"/>
      </w:r>
    </w:p>
    <w:p>
      <w:pPr>
        <w:pBdr>
          <w:bottom w:val="single" w:color="D9E9B4" w:sz="6" w:space="1"/>
        </w:pBdr>
        <w:spacing w:before="200" w:after="200"/>
      </w:pPr>
      <w:r>
        <w:t xml:space="preserve"/>
      </w:r>
    </w:p>
    <w:p>
      <w:pPr>
        <w:pBdr>
          <w:bottom w:val="single" w:color="4C8C00" w:sz="10" w:space="4"/>
        </w:pBdr>
        <w:spacing w:before="440" w:after="120"/>
      </w:pPr>
      <w:r>
        <w:rPr>
          <w:rFonts w:ascii="Arial" w:cs="Arial" w:eastAsia="Arial" w:hAnsi="Arial"/>
          <w:b/>
          <w:bCs/>
          <w:color w:val="2D5400"/>
          <w:sz w:val="36"/>
          <w:szCs w:val="36"/>
        </w:rPr>
        <w:t xml:space="preserve">Variant 1 — V1 Clean</w:t>
      </w:r>
    </w:p>
    <w:p>
      <w:pPr>
        <w:spacing w:before="120" w:after="60"/>
      </w:pPr>
      <w:r>
        <w:rPr>
          <w:rFonts w:ascii="Arial" w:cs="Arial" w:eastAsia="Arial" w:hAnsi="Arial"/>
          <w:b/>
          <w:bCs/>
          <w:color w:val="4C8C00"/>
          <w:sz w:val="22"/>
          <w:szCs w:val="22"/>
        </w:rPr>
        <w:t xml:space="preserve">Design Concept</w:t>
      </w:r>
    </w:p>
    <w:p>
      <w:pPr>
        <w:spacing w:before="40" w:after="60"/>
      </w:pPr>
      <w:r>
        <w:rPr>
          <w:rFonts w:ascii="Arial" w:cs="Arial" w:eastAsia="Arial" w:hAnsi="Arial"/>
          <w:color w:val="1A1A1A"/>
          <w:sz w:val="20"/>
          <w:szCs w:val="20"/>
        </w:rPr>
        <w:t xml:space="preserve">A centered, editorial card that lets the number breathe. Everything is vertically stacked on a single axis. The LIVE badge and count share one row. The number + letter form a single visual unit in the middle. The meta row sits quietly at the bottom. This is the default "at rest" state — calm, confident, readable.</w:t>
      </w:r>
    </w:p>
    <w:p>
      <w:pPr>
        <w:spacing w:before="0" w:after="60"/>
      </w:pPr>
      <w:r>
        <w:t xml:space="preserve"/>
      </w:r>
    </w:p>
    <w:p>
      <w:pPr>
        <w:spacing w:before="320" w:after="80"/>
      </w:pPr>
      <w:r>
        <w:rPr>
          <w:rFonts w:ascii="Arial" w:cs="Arial" w:eastAsia="Arial" w:hAnsi="Arial"/>
          <w:b/>
          <w:bCs/>
          <w:color w:val="4C8C00"/>
          <w:sz w:val="26"/>
          <w:szCs w:val="26"/>
        </w:rPr>
        <w:t xml:space="preserve">1. Layout Structure — Top to Bottom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1 (top)</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LIVE badge (left) ─────────────── Call count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Divider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 dp hairline, color PrimaryBorder, full card width</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2 (center)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Horizontally centered: [letter superscript] [large number]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3 (bottom)</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Vertically stacked center: "Last called…" / "Tap to auto-call"</w:t>
            </w:r>
          </w:p>
        </w:tc>
      </w:tr>
    </w:tbl>
    <w:p>
      <w:pPr>
        <w:spacing w:before="0" w:after="60"/>
      </w:pPr>
      <w:r>
        <w:t xml:space="preserve"/>
      </w:r>
    </w:p>
    <w:p>
      <w:pPr>
        <w:spacing w:before="320" w:after="80"/>
      </w:pPr>
      <w:r>
        <w:rPr>
          <w:rFonts w:ascii="Arial" w:cs="Arial" w:eastAsia="Arial" w:hAnsi="Arial"/>
          <w:b/>
          <w:bCs/>
          <w:color w:val="4C8C00"/>
          <w:sz w:val="26"/>
          <w:szCs w:val="26"/>
        </w:rPr>
        <w:t xml:space="preserve">2. Alignment Rules</w:t>
      </w:r>
    </w:p>
    <w:p>
      <w:pPr>
        <w:spacing w:before="30" w:after="30"/>
        <w:ind w:left="360"/>
      </w:pPr>
      <w:r>
        <w:rPr>
          <w:rFonts w:ascii="Arial" w:cs="Arial" w:eastAsia="Arial" w:hAnsi="Arial"/>
          <w:color w:val="1A1A1A"/>
          <w:sz w:val="20"/>
          <w:szCs w:val="20"/>
        </w:rPr>
        <w:t xml:space="preserve">• LIVE badge: start-aligned with 16 dp from left edge (screenHorizontalPadding)</w:t>
      </w:r>
    </w:p>
    <w:p>
      <w:pPr>
        <w:spacing w:before="30" w:after="30"/>
        <w:ind w:left="360"/>
      </w:pPr>
      <w:r>
        <w:rPr>
          <w:rFonts w:ascii="Arial" w:cs="Arial" w:eastAsia="Arial" w:hAnsi="Arial"/>
          <w:color w:val="1A1A1A"/>
          <w:sz w:val="20"/>
          <w:szCs w:val="20"/>
        </w:rPr>
        <w:t xml:space="preserve">• Call count: end-aligned with 16 dp from right edge</w:t>
      </w:r>
    </w:p>
    <w:p>
      <w:pPr>
        <w:spacing w:before="30" w:after="30"/>
        <w:ind w:left="360"/>
      </w:pPr>
      <w:r>
        <w:rPr>
          <w:rFonts w:ascii="Arial" w:cs="Arial" w:eastAsia="Arial" w:hAnsi="Arial"/>
          <w:color w:val="1A1A1A"/>
          <w:sz w:val="20"/>
          <w:szCs w:val="20"/>
        </w:rPr>
        <w:t xml:space="preserve">• Both on the same Row, verticalAlignment = CenterVertically</w:t>
      </w:r>
    </w:p>
    <w:p>
      <w:pPr>
        <w:spacing w:before="30" w:after="30"/>
        <w:ind w:left="360"/>
      </w:pPr>
      <w:r>
        <w:rPr>
          <w:rFonts w:ascii="Arial" w:cs="Arial" w:eastAsia="Arial" w:hAnsi="Arial"/>
          <w:color w:val="1A1A1A"/>
          <w:sz w:val="20"/>
          <w:szCs w:val="20"/>
        </w:rPr>
        <w:t xml:space="preserve">• Number + letter: entire unit is horizontally centered in the card</w:t>
      </w:r>
    </w:p>
    <w:p>
      <w:pPr>
        <w:spacing w:before="30" w:after="30"/>
        <w:ind w:left="360"/>
      </w:pPr>
      <w:r>
        <w:rPr>
          <w:rFonts w:ascii="Arial" w:cs="Arial" w:eastAsia="Arial" w:hAnsi="Arial"/>
          <w:color w:val="1A1A1A"/>
          <w:sz w:val="20"/>
          <w:szCs w:val="20"/>
        </w:rPr>
        <w:t xml:space="preserve">• Letter baseline: aligned to top of number cap-height (offset ~10 dp above center)</w:t>
      </w:r>
    </w:p>
    <w:p>
      <w:pPr>
        <w:spacing w:before="30" w:after="30"/>
        <w:ind w:left="360"/>
      </w:pPr>
      <w:r>
        <w:rPr>
          <w:rFonts w:ascii="Arial" w:cs="Arial" w:eastAsia="Arial" w:hAnsi="Arial"/>
          <w:color w:val="1A1A1A"/>
          <w:sz w:val="20"/>
          <w:szCs w:val="20"/>
        </w:rPr>
        <w:t xml:space="preserve">• "Last called" and "Tap to auto-call": center-aligned text, stacked</w:t>
      </w:r>
    </w:p>
    <w:p>
      <w:pPr>
        <w:spacing w:before="0" w:after="60"/>
      </w:pPr>
      <w:r>
        <w:t xml:space="preserve"/>
      </w:r>
    </w:p>
    <w:p>
      <w:pPr>
        <w:spacing w:before="320" w:after="80"/>
      </w:pPr>
      <w:r>
        <w:rPr>
          <w:rFonts w:ascii="Arial" w:cs="Arial" w:eastAsia="Arial" w:hAnsi="Arial"/>
          <w:b/>
          <w:bCs/>
          <w:color w:val="4C8C00"/>
          <w:sz w:val="26"/>
          <w:szCs w:val="26"/>
        </w:rPr>
        <w:t xml:space="preserve">3. Spacing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Card padding H</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(screenHorizontalPadding) — left and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Top bar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dp top, 10 dp bottom of Row 1</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Divider margin</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0 dp — full bleed within card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Number block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20 dp top, 16 dp bottom for Row 2</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Letter offset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8 dp margin-top (pushes letter up relative to number baseline)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Footer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dp top, 14 dp bottom for Row 3</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Footer gap</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6 dp between "Last called" and "Tap to auto-call"</w:t>
            </w:r>
          </w:p>
        </w:tc>
      </w:tr>
    </w:tbl>
    <w:p>
      <w:pPr>
        <w:spacing w:before="0" w:after="60"/>
      </w:pPr>
      <w:r>
        <w:t xml:space="preserve"/>
      </w:r>
    </w:p>
    <w:p>
      <w:pPr>
        <w:spacing w:before="320" w:after="80"/>
      </w:pPr>
      <w:r>
        <w:rPr>
          <w:rFonts w:ascii="Arial" w:cs="Arial" w:eastAsia="Arial" w:hAnsi="Arial"/>
          <w:b/>
          <w:bCs/>
          <w:color w:val="4C8C00"/>
          <w:sz w:val="26"/>
          <w:szCs w:val="26"/>
        </w:rPr>
        <w:t xml:space="preserve">4. Typography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"LIVE"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labelLarge / SemiBold / 14 sp / OnSurface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 count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labelLarge / SemiBold / 14 sp / Slate600. Bold weight for the number part only</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Column letter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headlineMedium / SemiBold / 28 sp / Primary</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Called number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displayLarge / SemiBold / 57 sp / Primary (scale down to titleLarge on compact)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"Last called…"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bodyMedium / Normal / 14 sp / Slate600. Time value bold OnSurface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"Tap to auto-call"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labelSmall / Medium / 11 sp / Slate600. Icon prefix 14 dp</w:t>
            </w:r>
          </w:p>
        </w:tc>
      </w:tr>
    </w:tbl>
    <w:p>
      <w:pPr>
        <w:spacing w:before="0" w:after="60"/>
      </w:pPr>
      <w:r>
        <w:t xml:space="preserve"/>
      </w:r>
    </w:p>
    <w:p>
      <w:pPr>
        <w:spacing w:before="320" w:after="80"/>
      </w:pPr>
      <w:r>
        <w:rPr>
          <w:rFonts w:ascii="Arial" w:cs="Arial" w:eastAsia="Arial" w:hAnsi="Arial"/>
          <w:b/>
          <w:bCs/>
          <w:color w:val="4C8C00"/>
          <w:sz w:val="26"/>
          <w:szCs w:val="26"/>
        </w:rPr>
        <w:t xml:space="preserve">5. Element Alignment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LIVE badge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start (left)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 count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end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Number + letter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Horizontally centered in card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"Last called" text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Center aligned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"Tap to auto-call"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Center aligned</w:t>
            </w:r>
          </w:p>
        </w:tc>
      </w:tr>
    </w:tbl>
    <w:p>
      <w:pPr>
        <w:spacing w:before="0" w:after="60"/>
      </w:pPr>
      <w:r>
        <w:t xml:space="preserve"/>
      </w:r>
    </w:p>
    <w:p>
      <w:pPr>
        <w:spacing w:before="320" w:after="80"/>
      </w:pPr>
      <w:r>
        <w:rPr>
          <w:rFonts w:ascii="Arial" w:cs="Arial" w:eastAsia="Arial" w:hAnsi="Arial"/>
          <w:b/>
          <w:bCs/>
          <w:color w:val="4C8C00"/>
          <w:sz w:val="26"/>
          <w:szCs w:val="26"/>
        </w:rPr>
        <w:t xml:space="preserve">6. Compact-Height Behavior</w:t>
      </w:r>
    </w:p>
    <w:p>
      <w:pPr>
        <w:spacing w:before="30" w:after="30"/>
        <w:ind w:left="360"/>
      </w:pPr>
      <w:r>
        <w:rPr>
          <w:rFonts w:ascii="Arial" w:cs="Arial" w:eastAsia="Arial" w:hAnsi="Arial"/>
          <w:color w:val="1A1A1A"/>
          <w:sz w:val="20"/>
          <w:szCs w:val="20"/>
        </w:rPr>
        <w:t xml:space="preserve">• Total normal height: ~160 dp</w:t>
      </w:r>
    </w:p>
    <w:p>
      <w:pPr>
        <w:spacing w:before="30" w:after="30"/>
        <w:ind w:left="360"/>
      </w:pPr>
      <w:r>
        <w:rPr>
          <w:rFonts w:ascii="Arial" w:cs="Arial" w:eastAsia="Arial" w:hAnsi="Arial"/>
          <w:color w:val="1A1A1A"/>
          <w:sz w:val="20"/>
          <w:szCs w:val="20"/>
        </w:rPr>
        <w:t xml:space="preserve">• Compact trigger: available height &lt; 120 dp (keyboard open or landscape)</w:t>
      </w:r>
    </w:p>
    <w:p>
      <w:pPr>
        <w:spacing w:before="30" w:after="30"/>
        <w:ind w:left="360"/>
      </w:pPr>
      <w:r>
        <w:rPr>
          <w:rFonts w:ascii="Arial" w:cs="Arial" w:eastAsia="Arial" w:hAnsi="Arial"/>
          <w:color w:val="1A1A1A"/>
          <w:sz w:val="20"/>
          <w:szCs w:val="20"/>
        </w:rPr>
        <w:t xml:space="preserve">• Compact action: Remove the divider. Collapse Row 2 vertical padding from 20/16 dp to 8/8 dp.</w:t>
      </w:r>
    </w:p>
    <w:p>
      <w:pPr>
        <w:spacing w:before="30" w:after="30"/>
        <w:ind w:left="360"/>
      </w:pPr>
      <w:r>
        <w:rPr>
          <w:rFonts w:ascii="Arial" w:cs="Arial" w:eastAsia="Arial" w:hAnsi="Arial"/>
          <w:color w:val="1A1A1A"/>
          <w:sz w:val="20"/>
          <w:szCs w:val="20"/>
        </w:rPr>
        <w:t xml:space="preserve">• Compact action: Scale number from displayLarge (57 sp) down to titleLarge (22 sp).</w:t>
      </w:r>
    </w:p>
    <w:p>
      <w:pPr>
        <w:spacing w:before="30" w:after="30"/>
        <w:ind w:left="360"/>
      </w:pPr>
      <w:r>
        <w:rPr>
          <w:rFonts w:ascii="Arial" w:cs="Arial" w:eastAsia="Arial" w:hAnsi="Arial"/>
          <w:color w:val="1A1A1A"/>
          <w:sz w:val="20"/>
          <w:szCs w:val="20"/>
        </w:rPr>
        <w:t xml:space="preserve">• Compact action: Hide "Tap to auto-call" row entirely. "Last called" stays visible.</w:t>
      </w:r>
    </w:p>
    <w:p>
      <w:pPr>
        <w:spacing w:before="30" w:after="30"/>
        <w:ind w:left="360"/>
      </w:pPr>
      <w:r>
        <w:rPr>
          <w:rFonts w:ascii="Arial" w:cs="Arial" w:eastAsia="Arial" w:hAnsi="Arial"/>
          <w:color w:val="1A1A1A"/>
          <w:sz w:val="20"/>
          <w:szCs w:val="20"/>
        </w:rPr>
        <w:t xml:space="preserve">• Compact result height: ~80 dp — still readable, no overflow.</w:t>
      </w:r>
    </w:p>
    <w:p>
      <w:pPr>
        <w:spacing w:before="0" w:after="60"/>
      </w:pPr>
      <w:r>
        <w:t xml:space="preserve"/>
      </w:r>
    </w:p>
    <w:p>
      <w:pPr>
        <w:spacing w:before="320" w:after="80"/>
      </w:pPr>
      <w:r>
        <w:rPr>
          <w:rFonts w:ascii="Arial" w:cs="Arial" w:eastAsia="Arial" w:hAnsi="Arial"/>
          <w:b/>
          <w:bCs/>
          <w:color w:val="4C8C00"/>
          <w:sz w:val="26"/>
          <w:szCs w:val="26"/>
        </w:rPr>
        <w:t xml:space="preserve">7. Why This Variant Feels Premium</w:t>
      </w:r>
    </w:p>
    <w:p>
      <w:pPr>
        <w:spacing w:before="30" w:after="30"/>
        <w:ind w:left="360"/>
      </w:pPr>
      <w:r>
        <w:rPr>
          <w:rFonts w:ascii="Arial" w:cs="Arial" w:eastAsia="Arial" w:hAnsi="Arial"/>
          <w:color w:val="1A1A1A"/>
          <w:sz w:val="20"/>
          <w:szCs w:val="20"/>
        </w:rPr>
        <w:t xml:space="preserve">• Single central axis creates visual calm — no competing focal points</w:t>
      </w:r>
    </w:p>
    <w:p>
      <w:pPr>
        <w:spacing w:before="30" w:after="30"/>
        <w:ind w:left="360"/>
      </w:pPr>
      <w:r>
        <w:rPr>
          <w:rFonts w:ascii="Arial" w:cs="Arial" w:eastAsia="Arial" w:hAnsi="Arial"/>
          <w:color w:val="1A1A1A"/>
          <w:sz w:val="20"/>
          <w:szCs w:val="20"/>
        </w:rPr>
        <w:t xml:space="preserve">• The large number owns its vertical zone without crowding from badges or chrome</w:t>
      </w:r>
    </w:p>
    <w:p>
      <w:pPr>
        <w:spacing w:before="30" w:after="30"/>
        <w:ind w:left="360"/>
      </w:pPr>
      <w:r>
        <w:rPr>
          <w:rFonts w:ascii="Arial" w:cs="Arial" w:eastAsia="Arial" w:hAnsi="Arial"/>
          <w:color w:val="1A1A1A"/>
          <w:sz w:val="20"/>
          <w:szCs w:val="20"/>
        </w:rPr>
        <w:t xml:space="preserve">• Hairline divider creates clean visual separation without heavy contrast</w:t>
      </w:r>
    </w:p>
    <w:p>
      <w:pPr>
        <w:spacing w:before="30" w:after="30"/>
        <w:ind w:left="360"/>
      </w:pPr>
      <w:r>
        <w:rPr>
          <w:rFonts w:ascii="Arial" w:cs="Arial" w:eastAsia="Arial" w:hAnsi="Arial"/>
          <w:color w:val="1A1A1A"/>
          <w:sz w:val="20"/>
          <w:szCs w:val="20"/>
        </w:rPr>
        <w:t xml:space="preserve">• Footer text is intentionally small — it supports without competing</w:t>
      </w:r>
    </w:p>
    <w:p>
      <w:pPr>
        <w:spacing w:before="30" w:after="30"/>
        <w:ind w:left="360"/>
      </w:pPr>
      <w:r>
        <w:rPr>
          <w:rFonts w:ascii="Arial" w:cs="Arial" w:eastAsia="Arial" w:hAnsi="Arial"/>
          <w:color w:val="1A1A1A"/>
          <w:sz w:val="20"/>
          <w:szCs w:val="20"/>
        </w:rPr>
        <w:t xml:space="preserve">• Spacing ratios follow an 8 dp grid throughout — nothing feels arbitrary</w:t>
      </w:r>
    </w:p>
    <w:p>
      <w:pPr>
        <w:spacing w:before="0" w:after="60"/>
      </w:pPr>
      <w:r>
        <w:t xml:space="preserve"/>
      </w:r>
    </w:p>
    <w:p>
      <w:pPr>
        <w:spacing w:before="320" w:after="80"/>
      </w:pPr>
      <w:r>
        <w:rPr>
          <w:rFonts w:ascii="Arial" w:cs="Arial" w:eastAsia="Arial" w:hAnsi="Arial"/>
          <w:b/>
          <w:bCs/>
          <w:color w:val="4C8C00"/>
          <w:sz w:val="26"/>
          <w:szCs w:val="26"/>
        </w:rPr>
        <w:t xml:space="preserve">8. ASCII Wireframe</w:t>
      </w:r>
    </w:p>
    <w:p>
      <w:pPr>
        <w:spacing w:before="80" w:after="120"/>
        <w:ind w:left="200"/>
      </w:pPr>
      <w:r>
        <w:rPr>
          <w:rFonts w:ascii="Courier New" w:cs="Courier New" w:eastAsia="Courier New" w:hAnsi="Courier New"/>
          <w:color w:val="2D5400"/>
          <w:sz w:val="18"/>
          <w:szCs w:val="18"/>
          <w:shd w:fill="EEF6E7" w:val="clear"/>
        </w:rPr>
        <w:t xml:space="preserve">┌─────────────────────────────────────────┐
│ [● LIVE]               [14 / 22]        │  ← 12dp top / 10dp bottom pad
├─────────────────────────────────────────┤  ← 1dp PrimaryBorder hairline
│                                         │
│            N  43                        │  ← 20dp top pad
│         ^small  ^large                  │     letter 28sp, number 57sp
│         superscript aligned to cap-hgt  │
│                                         │  ← 16dp bottom pad
├─────────────────────────────────────────┤  ← 1dp Slate200 hairline
│         Last called: 3 min ago          │  ← bodyMedium, centered
│           ⊞  Tap to auto-call           │  ← labelSmall, centered, 6dp gap
│                                         │  ← 14dp bottom pad
└─────────────────────────────────────────┘
  ↑ 3dp Primary border (card outer)</w:t>
      </w:r>
    </w:p>
    <w:p>
      <w:pPr>
        <w:spacing w:before="0" w:after="60"/>
      </w:pPr>
      <w:r>
        <w:t xml:space="preserve"/>
      </w:r>
    </w:p>
    <w:p>
      <w:pPr>
        <w:spacing w:before="0" w:after="60"/>
      </w:pPr>
      <w:r>
        <w:t xml:space="preserve"/>
      </w:r>
    </w:p>
    <w:p>
      <w:pPr>
        <w:pBdr>
          <w:bottom w:val="single" w:color="D9E9B4" w:sz="6" w:space="1"/>
        </w:pBdr>
        <w:spacing w:before="200" w:after="200"/>
      </w:pPr>
      <w:r>
        <w:t xml:space="preserve"/>
      </w:r>
    </w:p>
    <w:p>
      <w:pPr>
        <w:pBdr>
          <w:bottom w:val="single" w:color="4C8C00" w:sz="10" w:space="4"/>
        </w:pBdr>
        <w:spacing w:before="440" w:after="120"/>
      </w:pPr>
      <w:r>
        <w:rPr>
          <w:rFonts w:ascii="Arial" w:cs="Arial" w:eastAsia="Arial" w:hAnsi="Arial"/>
          <w:b/>
          <w:bCs/>
          <w:color w:val="2D5400"/>
          <w:sz w:val="36"/>
          <w:szCs w:val="36"/>
        </w:rPr>
        <w:t xml:space="preserve">Variant 2 — V2 Split</w:t>
      </w:r>
    </w:p>
    <w:p>
      <w:pPr>
        <w:spacing w:before="120" w:after="60"/>
      </w:pPr>
      <w:r>
        <w:rPr>
          <w:rFonts w:ascii="Arial" w:cs="Arial" w:eastAsia="Arial" w:hAnsi="Arial"/>
          <w:b/>
          <w:bCs/>
          <w:color w:val="4C8C00"/>
          <w:sz w:val="22"/>
          <w:szCs w:val="22"/>
        </w:rPr>
        <w:t xml:space="preserve">Design Concept</w:t>
      </w:r>
    </w:p>
    <w:p>
      <w:pPr>
        <w:spacing w:before="40" w:after="60"/>
      </w:pPr>
      <w:r>
        <w:rPr>
          <w:rFonts w:ascii="Arial" w:cs="Arial" w:eastAsia="Arial" w:hAnsi="Arial"/>
          <w:color w:val="1A1A1A"/>
          <w:sz w:val="20"/>
          <w:szCs w:val="20"/>
        </w:rPr>
        <w:t xml:space="preserve">A horizontal split layout that visually separates the bingo column identity from the number. A compact column badge sits left of center; the large number sits right of center. The header bar becomes a green filled strip — grounding the card with clear structural hierarchy. This is the most information-dense and app-native variant.</w:t>
      </w:r>
    </w:p>
    <w:p>
      <w:pPr>
        <w:spacing w:before="0" w:after="60"/>
      </w:pPr>
      <w:r>
        <w:t xml:space="preserve"/>
      </w:r>
    </w:p>
    <w:p>
      <w:pPr>
        <w:spacing w:before="320" w:after="80"/>
      </w:pPr>
      <w:r>
        <w:rPr>
          <w:rFonts w:ascii="Arial" w:cs="Arial" w:eastAsia="Arial" w:hAnsi="Arial"/>
          <w:b/>
          <w:bCs/>
          <w:color w:val="4C8C00"/>
          <w:sz w:val="26"/>
          <w:szCs w:val="26"/>
        </w:rPr>
        <w:t xml:space="preserve">1. Layout Structure — Top to Bottom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1 (header bar)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Green filled bar: LIVE badge (left) ── Call count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2 (body)</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Horizontal: [Column Badge box] [1dp divider] [Large number centered in remaining space]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3 (footer)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Horizontal: "Last called: X" (left) ── "⊞ Auto-call" pill (right)</w:t>
            </w:r>
          </w:p>
        </w:tc>
      </w:tr>
    </w:tbl>
    <w:p>
      <w:pPr>
        <w:spacing w:before="0" w:after="60"/>
      </w:pPr>
      <w:r>
        <w:t xml:space="preserve"/>
      </w:r>
    </w:p>
    <w:p>
      <w:pPr>
        <w:spacing w:before="320" w:after="80"/>
      </w:pPr>
      <w:r>
        <w:rPr>
          <w:rFonts w:ascii="Arial" w:cs="Arial" w:eastAsia="Arial" w:hAnsi="Arial"/>
          <w:b/>
          <w:bCs/>
          <w:color w:val="4C8C00"/>
          <w:sz w:val="26"/>
          <w:szCs w:val="26"/>
        </w:rPr>
        <w:t xml:space="preserve">2. Alignment Rules</w:t>
      </w:r>
    </w:p>
    <w:p>
      <w:pPr>
        <w:spacing w:before="30" w:after="30"/>
        <w:ind w:left="360"/>
      </w:pPr>
      <w:r>
        <w:rPr>
          <w:rFonts w:ascii="Arial" w:cs="Arial" w:eastAsia="Arial" w:hAnsi="Arial"/>
          <w:color w:val="1A1A1A"/>
          <w:sz w:val="20"/>
          <w:szCs w:val="20"/>
        </w:rPr>
        <w:t xml:space="preserve">• Header bar: LIVE badge start-aligned 16 dp from left. Count end-aligned 16 dp from right.</w:t>
      </w:r>
    </w:p>
    <w:p>
      <w:pPr>
        <w:spacing w:before="30" w:after="30"/>
        <w:ind w:left="360"/>
      </w:pPr>
      <w:r>
        <w:rPr>
          <w:rFonts w:ascii="Arial" w:cs="Arial" w:eastAsia="Arial" w:hAnsi="Arial"/>
          <w:color w:val="1A1A1A"/>
          <w:sz w:val="20"/>
          <w:szCs w:val="20"/>
        </w:rPr>
        <w:t xml:space="preserve">• Column Badge: fixed 52 dp wide box, start-aligned with 16 dp card padding, vertically centered in Row 2</w:t>
      </w:r>
    </w:p>
    <w:p>
      <w:pPr>
        <w:spacing w:before="30" w:after="30"/>
        <w:ind w:left="360"/>
      </w:pPr>
      <w:r>
        <w:rPr>
          <w:rFonts w:ascii="Arial" w:cs="Arial" w:eastAsia="Arial" w:hAnsi="Arial"/>
          <w:color w:val="1A1A1A"/>
          <w:sz w:val="20"/>
          <w:szCs w:val="20"/>
        </w:rPr>
        <w:t xml:space="preserve">• Vertical divider: 1 dp, height 48 dp, centered in Row 2, 12 dp gap on each side</w:t>
      </w:r>
    </w:p>
    <w:p>
      <w:pPr>
        <w:spacing w:before="30" w:after="30"/>
        <w:ind w:left="360"/>
      </w:pPr>
      <w:r>
        <w:rPr>
          <w:rFonts w:ascii="Arial" w:cs="Arial" w:eastAsia="Arial" w:hAnsi="Arial"/>
          <w:color w:val="1A1A1A"/>
          <w:sz w:val="20"/>
          <w:szCs w:val="20"/>
        </w:rPr>
        <w:t xml:space="preserve">• Number: horizontally centered in the remaining space (weight(1f) in Compose Row)</w:t>
      </w:r>
    </w:p>
    <w:p>
      <w:pPr>
        <w:spacing w:before="30" w:after="30"/>
        <w:ind w:left="360"/>
      </w:pPr>
      <w:r>
        <w:rPr>
          <w:rFonts w:ascii="Arial" w:cs="Arial" w:eastAsia="Arial" w:hAnsi="Arial"/>
          <w:color w:val="1A1A1A"/>
          <w:sz w:val="20"/>
          <w:szCs w:val="20"/>
        </w:rPr>
        <w:t xml:space="preserve">• "Last called": start-aligned, 16 dp from left, vertically centered in Row 3</w:t>
      </w:r>
    </w:p>
    <w:p>
      <w:pPr>
        <w:spacing w:before="30" w:after="30"/>
        <w:ind w:left="360"/>
      </w:pPr>
      <w:r>
        <w:rPr>
          <w:rFonts w:ascii="Arial" w:cs="Arial" w:eastAsia="Arial" w:hAnsi="Arial"/>
          <w:color w:val="1A1A1A"/>
          <w:sz w:val="20"/>
          <w:szCs w:val="20"/>
        </w:rPr>
        <w:t xml:space="preserve">• Auto-call pill: end-aligned, 16 dp from right, vertically centered in Row 3</w:t>
      </w:r>
    </w:p>
    <w:p>
      <w:pPr>
        <w:spacing w:before="0" w:after="60"/>
      </w:pPr>
      <w:r>
        <w:t xml:space="preserve"/>
      </w:r>
    </w:p>
    <w:p>
      <w:pPr>
        <w:spacing w:before="320" w:after="80"/>
      </w:pPr>
      <w:r>
        <w:rPr>
          <w:rFonts w:ascii="Arial" w:cs="Arial" w:eastAsia="Arial" w:hAnsi="Arial"/>
          <w:b/>
          <w:bCs/>
          <w:color w:val="4C8C00"/>
          <w:sz w:val="26"/>
          <w:szCs w:val="26"/>
        </w:rPr>
        <w:t xml:space="preserve">3. Spacing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Header bar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6 dp top, 6 dp bottom — compact, intentional</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Header bar H</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dp left and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Body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top and bottom</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Body H</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left and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Column badge W</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52 dp fixed width</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Badge internal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8 dp vertical, 0 horizontal (centered text inside)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Divider gap</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12 dp left and right of vertical divider line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Footer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10 dp top, 12 dp bottom</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Footer H</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left and right</w:t>
            </w:r>
          </w:p>
        </w:tc>
      </w:tr>
    </w:tbl>
    <w:p>
      <w:pPr>
        <w:spacing w:before="0" w:after="60"/>
      </w:pPr>
      <w:r>
        <w:t xml:space="preserve"/>
      </w:r>
    </w:p>
    <w:p>
      <w:pPr>
        <w:spacing w:before="320" w:after="80"/>
      </w:pPr>
      <w:r>
        <w:rPr>
          <w:rFonts w:ascii="Arial" w:cs="Arial" w:eastAsia="Arial" w:hAnsi="Arial"/>
          <w:b/>
          <w:bCs/>
          <w:color w:val="4C8C00"/>
          <w:sz w:val="26"/>
          <w:szCs w:val="26"/>
        </w:rPr>
        <w:t xml:space="preserve">4. Typography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"LIVE"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labelLarge / Bold / 12 sp / White (on green bar)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 count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labelLarge / Bold / 13 sp / White 75% opacity. Count number full white.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Column tag "COL"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labelSmall / Bold / 8 sp / Primary. Letter-spacing 0.15. Uppercase.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Column letter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titleLarge / ExtraBold / 36 sp / Primary. Inside badge box.</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Called number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displayLarge / ExtraBold / 88 sp / Primary. No letter-spacing tweak needed.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"Last called…"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bodyMedium / SemiBold / 11 sp / Slate600. Time value: OnSurface SemiBold.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"Auto-call" pill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labelSmall / Bold / 10 sp / White. Pill bg: Primary. Pill radius: radiusPill.</w:t>
            </w:r>
          </w:p>
        </w:tc>
      </w:tr>
    </w:tbl>
    <w:p>
      <w:pPr>
        <w:spacing w:before="0" w:after="60"/>
      </w:pPr>
      <w:r>
        <w:t xml:space="preserve"/>
      </w:r>
    </w:p>
    <w:p>
      <w:pPr>
        <w:spacing w:before="320" w:after="80"/>
      </w:pPr>
      <w:r>
        <w:rPr>
          <w:rFonts w:ascii="Arial" w:cs="Arial" w:eastAsia="Arial" w:hAnsi="Arial"/>
          <w:b/>
          <w:bCs/>
          <w:color w:val="4C8C00"/>
          <w:sz w:val="26"/>
          <w:szCs w:val="26"/>
        </w:rPr>
        <w:t xml:space="preserve">5. Element Alignment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LIVE badge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start (left) in header bar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 count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end (right) in header bar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Column badge box</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start (left) in body row</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Large number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Centered in weight(1f) space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"Last called"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start (left) in footer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Auto-call pill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end (right) in footer</w:t>
            </w:r>
          </w:p>
        </w:tc>
      </w:tr>
    </w:tbl>
    <w:p>
      <w:pPr>
        <w:spacing w:before="0" w:after="60"/>
      </w:pPr>
      <w:r>
        <w:t xml:space="preserve"/>
      </w:r>
    </w:p>
    <w:p>
      <w:pPr>
        <w:spacing w:before="320" w:after="80"/>
      </w:pPr>
      <w:r>
        <w:rPr>
          <w:rFonts w:ascii="Arial" w:cs="Arial" w:eastAsia="Arial" w:hAnsi="Arial"/>
          <w:b/>
          <w:bCs/>
          <w:color w:val="4C8C00"/>
          <w:sz w:val="26"/>
          <w:szCs w:val="26"/>
        </w:rPr>
        <w:t xml:space="preserve">6. Compact-Height Behavior</w:t>
      </w:r>
    </w:p>
    <w:p>
      <w:pPr>
        <w:spacing w:before="30" w:after="30"/>
        <w:ind w:left="360"/>
      </w:pPr>
      <w:r>
        <w:rPr>
          <w:rFonts w:ascii="Arial" w:cs="Arial" w:eastAsia="Arial" w:hAnsi="Arial"/>
          <w:color w:val="1A1A1A"/>
          <w:sz w:val="20"/>
          <w:szCs w:val="20"/>
        </w:rPr>
        <w:t xml:space="preserve">• Total normal height: ~150 dp</w:t>
      </w:r>
    </w:p>
    <w:p>
      <w:pPr>
        <w:spacing w:before="30" w:after="30"/>
        <w:ind w:left="360"/>
      </w:pPr>
      <w:r>
        <w:rPr>
          <w:rFonts w:ascii="Arial" w:cs="Arial" w:eastAsia="Arial" w:hAnsi="Arial"/>
          <w:color w:val="1A1A1A"/>
          <w:sz w:val="20"/>
          <w:szCs w:val="20"/>
        </w:rPr>
        <w:t xml:space="preserve">• Compact trigger: available height &lt; 110 dp</w:t>
      </w:r>
    </w:p>
    <w:p>
      <w:pPr>
        <w:spacing w:before="30" w:after="30"/>
        <w:ind w:left="360"/>
      </w:pPr>
      <w:r>
        <w:rPr>
          <w:rFonts w:ascii="Arial" w:cs="Arial" w:eastAsia="Arial" w:hAnsi="Arial"/>
          <w:color w:val="1A1A1A"/>
          <w:sz w:val="20"/>
          <w:szCs w:val="20"/>
        </w:rPr>
        <w:t xml:space="preserve">• Compact action: Reduce header bar vertical padding from 6 dp to 4 dp.</w:t>
      </w:r>
    </w:p>
    <w:p>
      <w:pPr>
        <w:spacing w:before="30" w:after="30"/>
        <w:ind w:left="360"/>
      </w:pPr>
      <w:r>
        <w:rPr>
          <w:rFonts w:ascii="Arial" w:cs="Arial" w:eastAsia="Arial" w:hAnsi="Arial"/>
          <w:color w:val="1A1A1A"/>
          <w:sz w:val="20"/>
          <w:szCs w:val="20"/>
        </w:rPr>
        <w:t xml:space="preserve">• Compact action: Reduce body vertical padding from 16 dp to 6 dp.</w:t>
      </w:r>
    </w:p>
    <w:p>
      <w:pPr>
        <w:spacing w:before="30" w:after="30"/>
        <w:ind w:left="360"/>
      </w:pPr>
      <w:r>
        <w:rPr>
          <w:rFonts w:ascii="Arial" w:cs="Arial" w:eastAsia="Arial" w:hAnsi="Arial"/>
          <w:color w:val="1A1A1A"/>
          <w:sz w:val="20"/>
          <w:szCs w:val="20"/>
        </w:rPr>
        <w:t xml:space="preserve">• Compact action: Scale number from 88 sp to 56 sp.</w:t>
      </w:r>
    </w:p>
    <w:p>
      <w:pPr>
        <w:spacing w:before="30" w:after="30"/>
        <w:ind w:left="360"/>
      </w:pPr>
      <w:r>
        <w:rPr>
          <w:rFonts w:ascii="Arial" w:cs="Arial" w:eastAsia="Arial" w:hAnsi="Arial"/>
          <w:color w:val="1A1A1A"/>
          <w:sz w:val="20"/>
          <w:szCs w:val="20"/>
        </w:rPr>
        <w:t xml:space="preserve">• Compact action: Footer collapses to single line — hide "COL" tag, reduce column letter from 36 sp to 24 sp.</w:t>
      </w:r>
    </w:p>
    <w:p>
      <w:pPr>
        <w:spacing w:before="30" w:after="30"/>
        <w:ind w:left="360"/>
      </w:pPr>
      <w:r>
        <w:rPr>
          <w:rFonts w:ascii="Arial" w:cs="Arial" w:eastAsia="Arial" w:hAnsi="Arial"/>
          <w:color w:val="1A1A1A"/>
          <w:sz w:val="20"/>
          <w:szCs w:val="20"/>
        </w:rPr>
        <w:t xml:space="preserve">• Compact result height: ~88 dp. Header bar visually anchors the component even at small heights.</w:t>
      </w:r>
    </w:p>
    <w:p>
      <w:pPr>
        <w:spacing w:before="0" w:after="60"/>
      </w:pPr>
      <w:r>
        <w:t xml:space="preserve"/>
      </w:r>
    </w:p>
    <w:p>
      <w:pPr>
        <w:spacing w:before="320" w:after="80"/>
      </w:pPr>
      <w:r>
        <w:rPr>
          <w:rFonts w:ascii="Arial" w:cs="Arial" w:eastAsia="Arial" w:hAnsi="Arial"/>
          <w:b/>
          <w:bCs/>
          <w:color w:val="4C8C00"/>
          <w:sz w:val="26"/>
          <w:szCs w:val="26"/>
        </w:rPr>
        <w:t xml:space="preserve">7. Why This Variant Feels Premium</w:t>
      </w:r>
    </w:p>
    <w:p>
      <w:pPr>
        <w:spacing w:before="30" w:after="30"/>
        <w:ind w:left="360"/>
      </w:pPr>
      <w:r>
        <w:rPr>
          <w:rFonts w:ascii="Arial" w:cs="Arial" w:eastAsia="Arial" w:hAnsi="Arial"/>
          <w:color w:val="1A1A1A"/>
          <w:sz w:val="20"/>
          <w:szCs w:val="20"/>
        </w:rPr>
        <w:t xml:space="preserve">• Green header bar creates immediate visual grounding — the card feels like a component, not a floating number</w:t>
      </w:r>
    </w:p>
    <w:p>
      <w:pPr>
        <w:spacing w:before="30" w:after="30"/>
        <w:ind w:left="360"/>
      </w:pPr>
      <w:r>
        <w:rPr>
          <w:rFonts w:ascii="Arial" w:cs="Arial" w:eastAsia="Arial" w:hAnsi="Arial"/>
          <w:color w:val="1A1A1A"/>
          <w:sz w:val="20"/>
          <w:szCs w:val="20"/>
        </w:rPr>
        <w:t xml:space="preserve">• Left badge + right number mirrors professional scoreboard and sports ticker conventions</w:t>
      </w:r>
    </w:p>
    <w:p>
      <w:pPr>
        <w:spacing w:before="30" w:after="30"/>
        <w:ind w:left="360"/>
      </w:pPr>
      <w:r>
        <w:rPr>
          <w:rFonts w:ascii="Arial" w:cs="Arial" w:eastAsia="Arial" w:hAnsi="Arial"/>
          <w:color w:val="1A1A1A"/>
          <w:sz w:val="20"/>
          <w:szCs w:val="20"/>
        </w:rPr>
        <w:t xml:space="preserve">• Footer with left text + right action pill is a clean Material 3 pattern — familiar to Android users</w:t>
      </w:r>
    </w:p>
    <w:p>
      <w:pPr>
        <w:spacing w:before="30" w:after="30"/>
        <w:ind w:left="360"/>
      </w:pPr>
      <w:r>
        <w:rPr>
          <w:rFonts w:ascii="Arial" w:cs="Arial" w:eastAsia="Arial" w:hAnsi="Arial"/>
          <w:color w:val="1A1A1A"/>
          <w:sz w:val="20"/>
          <w:szCs w:val="20"/>
        </w:rPr>
        <w:t xml:space="preserve">• The column badge is a deliberate, designed element — not just a letter floating in space</w:t>
      </w:r>
    </w:p>
    <w:p>
      <w:pPr>
        <w:spacing w:before="30" w:after="30"/>
        <w:ind w:left="360"/>
      </w:pPr>
      <w:r>
        <w:rPr>
          <w:rFonts w:ascii="Arial" w:cs="Arial" w:eastAsia="Arial" w:hAnsi="Arial"/>
          <w:color w:val="1A1A1A"/>
          <w:sz w:val="20"/>
          <w:szCs w:val="20"/>
        </w:rPr>
        <w:t xml:space="preserve">• Contrast between green bar and white body creates instant information hierarchy</w:t>
      </w:r>
    </w:p>
    <w:p>
      <w:pPr>
        <w:spacing w:before="0" w:after="60"/>
      </w:pPr>
      <w:r>
        <w:t xml:space="preserve"/>
      </w:r>
    </w:p>
    <w:p>
      <w:pPr>
        <w:spacing w:before="320" w:after="80"/>
      </w:pPr>
      <w:r>
        <w:rPr>
          <w:rFonts w:ascii="Arial" w:cs="Arial" w:eastAsia="Arial" w:hAnsi="Arial"/>
          <w:b/>
          <w:bCs/>
          <w:color w:val="4C8C00"/>
          <w:sz w:val="26"/>
          <w:szCs w:val="26"/>
        </w:rPr>
        <w:t xml:space="preserve">8. ASCII Wireframe</w:t>
      </w:r>
    </w:p>
    <w:p>
      <w:pPr>
        <w:spacing w:before="80" w:after="120"/>
        <w:ind w:left="200"/>
      </w:pPr>
      <w:r>
        <w:rPr>
          <w:rFonts w:ascii="Courier New" w:cs="Courier New" w:eastAsia="Courier New" w:hAnsi="Courier New"/>
          <w:color w:val="2D5400"/>
          <w:sz w:val="18"/>
          <w:szCs w:val="18"/>
          <w:shd w:fill="EEF6E7" w:val="clear"/>
        </w:rPr>
        <w:t xml:space="preserve">┌─────────────────────────────────────────┐
│ [● LIVE]               [14 / 22]        │  ← green fill bar, 6dp V pad
├─────────────────────────────────────────┤
│                                         │
│  ┌──────┐  │                            │  ← 16dp body pad
│  │ COL  │  │         43                 │     badge 52dp wide
│  │  N   │  │    ← 88sp Primary          │     1dp vertical divider
│  └──────┘  │                            │     number in weight(1f)
│                                         │  ← 16dp body pad
├─────────────────────────────────────────┤  ← 1dp Slate200
│ Last called: 3 min ago    [Auto-call ●] │  ← 10dp top, 12dp bottom
└─────────────────────────────────────────┘
  ↑ 2.5dp Primary border (card outer)</w:t>
      </w:r>
    </w:p>
    <w:p>
      <w:pPr>
        <w:spacing w:before="0" w:after="60"/>
      </w:pPr>
      <w:r>
        <w:t xml:space="preserve"/>
      </w:r>
    </w:p>
    <w:p>
      <w:pPr>
        <w:spacing w:before="0" w:after="60"/>
      </w:pPr>
      <w:r>
        <w:t xml:space="preserve"/>
      </w:r>
    </w:p>
    <w:p>
      <w:pPr>
        <w:pBdr>
          <w:bottom w:val="single" w:color="D9E9B4" w:sz="6" w:space="1"/>
        </w:pBdr>
        <w:spacing w:before="200" w:after="200"/>
      </w:pPr>
      <w:r>
        <w:t xml:space="preserve"/>
      </w:r>
    </w:p>
    <w:p>
      <w:pPr>
        <w:pBdr>
          <w:bottom w:val="single" w:color="4C8C00" w:sz="10" w:space="4"/>
        </w:pBdr>
        <w:spacing w:before="440" w:after="120"/>
      </w:pPr>
      <w:r>
        <w:rPr>
          <w:rFonts w:ascii="Arial" w:cs="Arial" w:eastAsia="Arial" w:hAnsi="Arial"/>
          <w:b/>
          <w:bCs/>
          <w:color w:val="2D5400"/>
          <w:sz w:val="36"/>
          <w:szCs w:val="36"/>
        </w:rPr>
        <w:t xml:space="preserve">Variant 3 — V3 Band</w:t>
      </w:r>
    </w:p>
    <w:p>
      <w:pPr>
        <w:spacing w:before="120" w:after="60"/>
      </w:pPr>
      <w:r>
        <w:rPr>
          <w:rFonts w:ascii="Arial" w:cs="Arial" w:eastAsia="Arial" w:hAnsi="Arial"/>
          <w:b/>
          <w:bCs/>
          <w:color w:val="4C8C00"/>
          <w:sz w:val="22"/>
          <w:szCs w:val="22"/>
        </w:rPr>
        <w:t xml:space="preserve">Design Concept</w:t>
      </w:r>
    </w:p>
    <w:p>
      <w:pPr>
        <w:spacing w:before="40" w:after="60"/>
      </w:pPr>
      <w:r>
        <w:rPr>
          <w:rFonts w:ascii="Arial" w:cs="Arial" w:eastAsia="Arial" w:hAnsi="Arial"/>
          <w:color w:val="1A1A1A"/>
          <w:sz w:val="20"/>
          <w:szCs w:val="20"/>
        </w:rPr>
        <w:t xml:space="preserve">A bold center-stage layout where the number lives inside a full-width green band. The band is the dominant visual feature — thick, confident, inset from the card edges with rounded corners. The LIVE/count row and the footer row sit on the white card surface above and below the band. This gives the most visual drama while remaining fully readable.</w:t>
      </w:r>
    </w:p>
    <w:p>
      <w:pPr>
        <w:spacing w:before="0" w:after="60"/>
      </w:pPr>
      <w:r>
        <w:t xml:space="preserve"/>
      </w:r>
    </w:p>
    <w:p>
      <w:pPr>
        <w:spacing w:before="320" w:after="80"/>
      </w:pPr>
      <w:r>
        <w:rPr>
          <w:rFonts w:ascii="Arial" w:cs="Arial" w:eastAsia="Arial" w:hAnsi="Arial"/>
          <w:b/>
          <w:bCs/>
          <w:color w:val="4C8C00"/>
          <w:sz w:val="26"/>
          <w:szCs w:val="26"/>
        </w:rPr>
        <w:t xml:space="preserve">1. Layout Structure — Top to Bottom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1 (top)</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White surface: LIVE badge (left) ── Call count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Green band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Full card width, inset 16 dp left/right, radius 14 dp. Contains: letter superscript + number centered, range sub-label below number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Row 2 (footer)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White surface: "Last called…" left ── outline pill "Auto-call" right</w:t>
            </w:r>
          </w:p>
        </w:tc>
      </w:tr>
    </w:tbl>
    <w:p>
      <w:pPr>
        <w:spacing w:before="0" w:after="60"/>
      </w:pPr>
      <w:r>
        <w:t xml:space="preserve"/>
      </w:r>
    </w:p>
    <w:p>
      <w:pPr>
        <w:spacing w:before="320" w:after="80"/>
      </w:pPr>
      <w:r>
        <w:rPr>
          <w:rFonts w:ascii="Arial" w:cs="Arial" w:eastAsia="Arial" w:hAnsi="Arial"/>
          <w:b/>
          <w:bCs/>
          <w:color w:val="4C8C00"/>
          <w:sz w:val="26"/>
          <w:szCs w:val="26"/>
        </w:rPr>
        <w:t xml:space="preserve">2. Alignment Rules</w:t>
      </w:r>
    </w:p>
    <w:p>
      <w:pPr>
        <w:spacing w:before="30" w:after="30"/>
        <w:ind w:left="360"/>
      </w:pPr>
      <w:r>
        <w:rPr>
          <w:rFonts w:ascii="Arial" w:cs="Arial" w:eastAsia="Arial" w:hAnsi="Arial"/>
          <w:color w:val="1A1A1A"/>
          <w:sz w:val="20"/>
          <w:szCs w:val="20"/>
        </w:rPr>
        <w:t xml:space="preserve">• LIVE badge: start-aligned 16 dp from card left edge, vertically centered in Row 1</w:t>
      </w:r>
    </w:p>
    <w:p>
      <w:pPr>
        <w:spacing w:before="30" w:after="30"/>
        <w:ind w:left="360"/>
      </w:pPr>
      <w:r>
        <w:rPr>
          <w:rFonts w:ascii="Arial" w:cs="Arial" w:eastAsia="Arial" w:hAnsi="Arial"/>
          <w:color w:val="1A1A1A"/>
          <w:sz w:val="20"/>
          <w:szCs w:val="20"/>
        </w:rPr>
        <w:t xml:space="preserve">• Call count: end-aligned 16 dp from card right edge, vertically centered in Row 1</w:t>
      </w:r>
    </w:p>
    <w:p>
      <w:pPr>
        <w:spacing w:before="30" w:after="30"/>
        <w:ind w:left="360"/>
      </w:pPr>
      <w:r>
        <w:rPr>
          <w:rFonts w:ascii="Arial" w:cs="Arial" w:eastAsia="Arial" w:hAnsi="Arial"/>
          <w:color w:val="1A1A1A"/>
          <w:sz w:val="20"/>
          <w:szCs w:val="20"/>
        </w:rPr>
        <w:t xml:space="preserve">• Green band: 16 dp horizontal inset from card edges. Corner radius 14 dp (radiusCard - 2dp).</w:t>
      </w:r>
    </w:p>
    <w:p>
      <w:pPr>
        <w:spacing w:before="30" w:after="30"/>
        <w:ind w:left="360"/>
      </w:pPr>
      <w:r>
        <w:rPr>
          <w:rFonts w:ascii="Arial" w:cs="Arial" w:eastAsia="Arial" w:hAnsi="Arial"/>
          <w:color w:val="1A1A1A"/>
          <w:sz w:val="20"/>
          <w:szCs w:val="20"/>
        </w:rPr>
        <w:t xml:space="preserve">• Number + letter inside band: horizontally centered as a unit. Letter sits top-left of number cap-height.</w:t>
      </w:r>
    </w:p>
    <w:p>
      <w:pPr>
        <w:spacing w:before="30" w:after="30"/>
        <w:ind w:left="360"/>
      </w:pPr>
      <w:r>
        <w:rPr>
          <w:rFonts w:ascii="Arial" w:cs="Arial" w:eastAsia="Arial" w:hAnsi="Arial"/>
          <w:color w:val="1A1A1A"/>
          <w:sz w:val="20"/>
          <w:szCs w:val="20"/>
        </w:rPr>
        <w:t xml:space="preserve">• Sub-label (range): centered below the number, 2 dp gap from number baseline</w:t>
      </w:r>
    </w:p>
    <w:p>
      <w:pPr>
        <w:spacing w:before="30" w:after="30"/>
        <w:ind w:left="360"/>
      </w:pPr>
      <w:r>
        <w:rPr>
          <w:rFonts w:ascii="Arial" w:cs="Arial" w:eastAsia="Arial" w:hAnsi="Arial"/>
          <w:color w:val="1A1A1A"/>
          <w:sz w:val="20"/>
          <w:szCs w:val="20"/>
        </w:rPr>
        <w:t xml:space="preserve">• "Last called": start-aligned 20 dp from left, vertically centered in footer row</w:t>
      </w:r>
    </w:p>
    <w:p>
      <w:pPr>
        <w:spacing w:before="30" w:after="30"/>
        <w:ind w:left="360"/>
      </w:pPr>
      <w:r>
        <w:rPr>
          <w:rFonts w:ascii="Arial" w:cs="Arial" w:eastAsia="Arial" w:hAnsi="Arial"/>
          <w:color w:val="1A1A1A"/>
          <w:sz w:val="20"/>
          <w:szCs w:val="20"/>
        </w:rPr>
        <w:t xml:space="preserve">• Auto-call pill: end-aligned 20 dp from right, vertically centered in footer row</w:t>
      </w:r>
    </w:p>
    <w:p>
      <w:pPr>
        <w:spacing w:before="0" w:after="60"/>
      </w:pPr>
      <w:r>
        <w:t xml:space="preserve"/>
      </w:r>
    </w:p>
    <w:p>
      <w:pPr>
        <w:spacing w:before="320" w:after="80"/>
      </w:pPr>
      <w:r>
        <w:rPr>
          <w:rFonts w:ascii="Arial" w:cs="Arial" w:eastAsia="Arial" w:hAnsi="Arial"/>
          <w:b/>
          <w:bCs/>
          <w:color w:val="4C8C00"/>
          <w:sz w:val="26"/>
          <w:szCs w:val="26"/>
        </w:rPr>
        <w:t xml:space="preserve">3. Spacing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Top row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11 dp top, 11 dp bottom</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Top row H</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left and right</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Band H inset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16 dp from card edge (matches screenHorizontalPadding)</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Band V pad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18 dp top, 14 dp bottom inside green band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Letter offset top</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8 dp margin-top — pushes letter to align with cap-height of number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Letter margin-R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4 dp between letter and number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Sub-label gap</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 dp margin-top below number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Footer V</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10 dp top, 12 dp bottom</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Footer H</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20 dp left and right</w:t>
            </w:r>
          </w:p>
        </w:tc>
      </w:tr>
    </w:tbl>
    <w:p>
      <w:pPr>
        <w:spacing w:before="0" w:after="60"/>
      </w:pPr>
      <w:r>
        <w:t xml:space="preserve"/>
      </w:r>
    </w:p>
    <w:p>
      <w:pPr>
        <w:spacing w:before="320" w:after="80"/>
      </w:pPr>
      <w:r>
        <w:rPr>
          <w:rFonts w:ascii="Arial" w:cs="Arial" w:eastAsia="Arial" w:hAnsi="Arial"/>
          <w:b/>
          <w:bCs/>
          <w:color w:val="4C8C00"/>
          <w:sz w:val="26"/>
          <w:szCs w:val="26"/>
        </w:rPr>
        <w:t xml:space="preserve">4. Typography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"LIVE"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labelLarge / ExtraBold / 12 sp / PrimaryDark. On white surface.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 count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labelLarge / Bold / 13 sp / Slate600. Count number: OnSurface Bold.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Column letter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headlineMedium / ExtraBold / 26 sp / White 70% opacity. Inside green band.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Called number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displayLarge / ExtraBold / 100 sp / White. Inside green band. Letter-spacing -0.03.</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Range sub-label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labelSmall / Bold / 10 sp / White 55% opacity. Uppercase. Letter-spacing 0.2.</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"Last called"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bodyMedium / SemiBold / 11 sp / Slate600. "X min ago": PrimaryDark SemiBold displayed as block.</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"Auto-call" pill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labelSmall / ExtraBold / 10 sp / Primary. Pill: 2 dp Primary border, no fill, radiusPill.</w:t>
            </w:r>
          </w:p>
        </w:tc>
      </w:tr>
    </w:tbl>
    <w:p>
      <w:pPr>
        <w:spacing w:before="0" w:after="60"/>
      </w:pPr>
      <w:r>
        <w:t xml:space="preserve"/>
      </w:r>
    </w:p>
    <w:p>
      <w:pPr>
        <w:spacing w:before="320" w:after="80"/>
      </w:pPr>
      <w:r>
        <w:rPr>
          <w:rFonts w:ascii="Arial" w:cs="Arial" w:eastAsia="Arial" w:hAnsi="Arial"/>
          <w:b/>
          <w:bCs/>
          <w:color w:val="4C8C00"/>
          <w:sz w:val="26"/>
          <w:szCs w:val="26"/>
        </w:rPr>
        <w:t xml:space="preserve">5. Element Alignment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LIVE badge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start (left) on white surface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Call count</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end (right) on white surface</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Number + letter</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Horizontally centered inside green band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Range sub-label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Horizontally centered inside green band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"Last called"</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start (left) in footer</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Auto-call pill</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Row end (right) in footer</w:t>
            </w:r>
          </w:p>
        </w:tc>
      </w:tr>
    </w:tbl>
    <w:p>
      <w:pPr>
        <w:spacing w:before="0" w:after="60"/>
      </w:pPr>
      <w:r>
        <w:t xml:space="preserve"/>
      </w:r>
    </w:p>
    <w:p>
      <w:pPr>
        <w:spacing w:before="320" w:after="80"/>
      </w:pPr>
      <w:r>
        <w:rPr>
          <w:rFonts w:ascii="Arial" w:cs="Arial" w:eastAsia="Arial" w:hAnsi="Arial"/>
          <w:b/>
          <w:bCs/>
          <w:color w:val="4C8C00"/>
          <w:sz w:val="26"/>
          <w:szCs w:val="26"/>
        </w:rPr>
        <w:t xml:space="preserve">6. Compact-Height Behavior</w:t>
      </w:r>
    </w:p>
    <w:p>
      <w:pPr>
        <w:spacing w:before="30" w:after="30"/>
        <w:ind w:left="360"/>
      </w:pPr>
      <w:r>
        <w:rPr>
          <w:rFonts w:ascii="Arial" w:cs="Arial" w:eastAsia="Arial" w:hAnsi="Arial"/>
          <w:color w:val="1A1A1A"/>
          <w:sz w:val="20"/>
          <w:szCs w:val="20"/>
        </w:rPr>
        <w:t xml:space="preserve">• Total normal height: ~168 dp</w:t>
      </w:r>
    </w:p>
    <w:p>
      <w:pPr>
        <w:spacing w:before="30" w:after="30"/>
        <w:ind w:left="360"/>
      </w:pPr>
      <w:r>
        <w:rPr>
          <w:rFonts w:ascii="Arial" w:cs="Arial" w:eastAsia="Arial" w:hAnsi="Arial"/>
          <w:color w:val="1A1A1A"/>
          <w:sz w:val="20"/>
          <w:szCs w:val="20"/>
        </w:rPr>
        <w:t xml:space="preserve">• Compact trigger: available height &lt; 130 dp</w:t>
      </w:r>
    </w:p>
    <w:p>
      <w:pPr>
        <w:spacing w:before="30" w:after="30"/>
        <w:ind w:left="360"/>
      </w:pPr>
      <w:r>
        <w:rPr>
          <w:rFonts w:ascii="Arial" w:cs="Arial" w:eastAsia="Arial" w:hAnsi="Arial"/>
          <w:color w:val="1A1A1A"/>
          <w:sz w:val="20"/>
          <w:szCs w:val="20"/>
        </w:rPr>
        <w:t xml:space="preserve">• Compact action: Reduce band top/bottom padding from 18/14 dp to 8/8 dp.</w:t>
      </w:r>
    </w:p>
    <w:p>
      <w:pPr>
        <w:spacing w:before="30" w:after="30"/>
        <w:ind w:left="360"/>
      </w:pPr>
      <w:r>
        <w:rPr>
          <w:rFonts w:ascii="Arial" w:cs="Arial" w:eastAsia="Arial" w:hAnsi="Arial"/>
          <w:color w:val="1A1A1A"/>
          <w:sz w:val="20"/>
          <w:szCs w:val="20"/>
        </w:rPr>
        <w:t xml:space="preserve">• Compact action: Scale number from 100 sp to 64 sp. Letter from 26 sp to 18 sp.</w:t>
      </w:r>
    </w:p>
    <w:p>
      <w:pPr>
        <w:spacing w:before="30" w:after="30"/>
        <w:ind w:left="360"/>
      </w:pPr>
      <w:r>
        <w:rPr>
          <w:rFonts w:ascii="Arial" w:cs="Arial" w:eastAsia="Arial" w:hAnsi="Arial"/>
          <w:color w:val="1A1A1A"/>
          <w:sz w:val="20"/>
          <w:szCs w:val="20"/>
        </w:rPr>
        <w:t xml:space="preserve">• Compact action: Hide range sub-label (it is decorative, not critical).</w:t>
      </w:r>
    </w:p>
    <w:p>
      <w:pPr>
        <w:spacing w:before="30" w:after="30"/>
        <w:ind w:left="360"/>
      </w:pPr>
      <w:r>
        <w:rPr>
          <w:rFonts w:ascii="Arial" w:cs="Arial" w:eastAsia="Arial" w:hAnsi="Arial"/>
          <w:color w:val="1A1A1A"/>
          <w:sz w:val="20"/>
          <w:szCs w:val="20"/>
        </w:rPr>
        <w:t xml:space="preserve">• Compact action: Footer row: reduce padding from 10/12 dp to 6/8 dp.</w:t>
      </w:r>
    </w:p>
    <w:p>
      <w:pPr>
        <w:spacing w:before="30" w:after="30"/>
        <w:ind w:left="360"/>
      </w:pPr>
      <w:r>
        <w:rPr>
          <w:rFonts w:ascii="Arial" w:cs="Arial" w:eastAsia="Arial" w:hAnsi="Arial"/>
          <w:color w:val="1A1A1A"/>
          <w:sz w:val="20"/>
          <w:szCs w:val="20"/>
        </w:rPr>
        <w:t xml:space="preserve">• Compact result height: ~110 dp. Green band remains dominant even at reduced height.</w:t>
      </w:r>
    </w:p>
    <w:p>
      <w:pPr>
        <w:spacing w:before="0" w:after="60"/>
      </w:pPr>
      <w:r>
        <w:t xml:space="preserve"/>
      </w:r>
    </w:p>
    <w:p>
      <w:pPr>
        <w:spacing w:before="320" w:after="80"/>
      </w:pPr>
      <w:r>
        <w:rPr>
          <w:rFonts w:ascii="Arial" w:cs="Arial" w:eastAsia="Arial" w:hAnsi="Arial"/>
          <w:b/>
          <w:bCs/>
          <w:color w:val="4C8C00"/>
          <w:sz w:val="26"/>
          <w:szCs w:val="26"/>
        </w:rPr>
        <w:t xml:space="preserve">7. Why This Variant Feels Premium</w:t>
      </w:r>
    </w:p>
    <w:p>
      <w:pPr>
        <w:spacing w:before="30" w:after="30"/>
        <w:ind w:left="360"/>
      </w:pPr>
      <w:r>
        <w:rPr>
          <w:rFonts w:ascii="Arial" w:cs="Arial" w:eastAsia="Arial" w:hAnsi="Arial"/>
          <w:color w:val="1A1A1A"/>
          <w:sz w:val="20"/>
          <w:szCs w:val="20"/>
        </w:rPr>
        <w:t xml:space="preserve">• The green band is a deliberate design decision — not a colored background but a structured container</w:t>
      </w:r>
    </w:p>
    <w:p>
      <w:pPr>
        <w:spacing w:before="30" w:after="30"/>
        <w:ind w:left="360"/>
      </w:pPr>
      <w:r>
        <w:rPr>
          <w:rFonts w:ascii="Arial" w:cs="Arial" w:eastAsia="Arial" w:hAnsi="Arial"/>
          <w:color w:val="1A1A1A"/>
          <w:sz w:val="20"/>
          <w:szCs w:val="20"/>
        </w:rPr>
        <w:t xml:space="preserve">• White text on Primary green achieves the highest contrast in the app color system</w:t>
      </w:r>
    </w:p>
    <w:p>
      <w:pPr>
        <w:spacing w:before="30" w:after="30"/>
        <w:ind w:left="360"/>
      </w:pPr>
      <w:r>
        <w:rPr>
          <w:rFonts w:ascii="Arial" w:cs="Arial" w:eastAsia="Arial" w:hAnsi="Arial"/>
          <w:color w:val="1A1A1A"/>
          <w:sz w:val="20"/>
          <w:szCs w:val="20"/>
        </w:rPr>
        <w:t xml:space="preserve">• Inset radius on the band creates a card-within-a-card feeling — sophisticated, intentional</w:t>
      </w:r>
    </w:p>
    <w:p>
      <w:pPr>
        <w:spacing w:before="30" w:after="30"/>
        <w:ind w:left="360"/>
      </w:pPr>
      <w:r>
        <w:rPr>
          <w:rFonts w:ascii="Arial" w:cs="Arial" w:eastAsia="Arial" w:hAnsi="Arial"/>
          <w:color w:val="1A1A1A"/>
          <w:sz w:val="20"/>
          <w:szCs w:val="20"/>
        </w:rPr>
        <w:t xml:space="preserve">• Range sub-label adds contextual information (N = 31–45) without cluttering the main reading</w:t>
      </w:r>
    </w:p>
    <w:p>
      <w:pPr>
        <w:spacing w:before="30" w:after="30"/>
        <w:ind w:left="360"/>
      </w:pPr>
      <w:r>
        <w:rPr>
          <w:rFonts w:ascii="Arial" w:cs="Arial" w:eastAsia="Arial" w:hAnsi="Arial"/>
          <w:color w:val="1A1A1A"/>
          <w:sz w:val="20"/>
          <w:szCs w:val="20"/>
        </w:rPr>
        <w:t xml:space="preserve">• Outline-only auto-call pill (no fill) avoids competing with the band's visual weight</w:t>
      </w:r>
    </w:p>
    <w:p>
      <w:pPr>
        <w:spacing w:before="30" w:after="30"/>
        <w:ind w:left="360"/>
      </w:pPr>
      <w:r>
        <w:rPr>
          <w:rFonts w:ascii="Arial" w:cs="Arial" w:eastAsia="Arial" w:hAnsi="Arial"/>
          <w:color w:val="1A1A1A"/>
          <w:sz w:val="20"/>
          <w:szCs w:val="20"/>
        </w:rPr>
        <w:t xml:space="preserve">• Three clearly defined zones — chrome / content / meta — are immediately parseable</w:t>
      </w:r>
    </w:p>
    <w:p>
      <w:pPr>
        <w:spacing w:before="0" w:after="60"/>
      </w:pPr>
      <w:r>
        <w:t xml:space="preserve"/>
      </w:r>
    </w:p>
    <w:p>
      <w:pPr>
        <w:spacing w:before="320" w:after="80"/>
      </w:pPr>
      <w:r>
        <w:rPr>
          <w:rFonts w:ascii="Arial" w:cs="Arial" w:eastAsia="Arial" w:hAnsi="Arial"/>
          <w:b/>
          <w:bCs/>
          <w:color w:val="4C8C00"/>
          <w:sz w:val="26"/>
          <w:szCs w:val="26"/>
        </w:rPr>
        <w:t xml:space="preserve">8. ASCII Wireframe</w:t>
      </w:r>
    </w:p>
    <w:p>
      <w:pPr>
        <w:spacing w:before="80" w:after="120"/>
        <w:ind w:left="200"/>
      </w:pPr>
      <w:r>
        <w:rPr>
          <w:rFonts w:ascii="Courier New" w:cs="Courier New" w:eastAsia="Courier New" w:hAnsi="Courier New"/>
          <w:color w:val="2D5400"/>
          <w:sz w:val="18"/>
          <w:szCs w:val="18"/>
          <w:shd w:fill="EEF6E7" w:val="clear"/>
        </w:rPr>
        <w:t xml:space="preserve">┌─────────────────────────────────────────┐
│ [● LIVE]              [14 / 22]         │  ← white, 11dp V pad
│  ┌───────────────────────────────────┐  │  ← band inset 16dp
│  │                                   │  │     radiusCard 14dp
│  │          N    43                  │  │  ← 18dp top pad
│  │        ^26sp  ^100sp White        │  │     letter 70% white
│  │        col N · 31–45              │  │  ← range label 10sp 55%
│  └───────────────────────────────────┘  │  ← 14dp bottom pad
│ Last called          [  Auto-call  ]    │  ← footer white, 10dp top
└─────────────────────────────────────────┘
  ↑ 3dp Primary border (card outer)</w:t>
      </w:r>
    </w:p>
    <w:p>
      <w:pPr>
        <w:spacing w:before="0" w:after="60"/>
      </w:pPr>
      <w:r>
        <w:t xml:space="preserve"/>
      </w:r>
    </w:p>
    <w:p>
      <w:pPr>
        <w:spacing w:before="0" w:after="60"/>
      </w:pPr>
      <w:r>
        <w:t xml:space="preserve"/>
      </w:r>
    </w:p>
    <w:p>
      <w:pPr>
        <w:pBdr>
          <w:bottom w:val="single" w:color="4C8C00" w:sz="6" w:space="1"/>
        </w:pBdr>
        <w:spacing w:before="200" w:after="200"/>
      </w:pPr>
      <w:r>
        <w:t xml:space="preserve"/>
      </w:r>
    </w:p>
    <w:p>
      <w:pPr>
        <w:pBdr>
          <w:bottom w:val="single" w:color="4C8C00" w:sz="10" w:space="4"/>
        </w:pBdr>
        <w:spacing w:before="440" w:after="120"/>
      </w:pPr>
      <w:r>
        <w:rPr>
          <w:rFonts w:ascii="Arial" w:cs="Arial" w:eastAsia="Arial" w:hAnsi="Arial"/>
          <w:b/>
          <w:bCs/>
          <w:color w:val="2D5400"/>
          <w:sz w:val="36"/>
          <w:szCs w:val="36"/>
        </w:rPr>
        <w:t xml:space="preserve">Final Recommendations</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Best for default use</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V1 Clean — calm, centered, universally legible. Safe choice for the primary persistent state where users need to track numbers across many rounds.</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Best for compact / keyboard-open</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V2 Split — horizontal layout degrades most gracefully at reduced heights. The green header bar maintains brand identity even when number size is reduced.</w:t>
            </w:r>
          </w:p>
        </w:tc>
      </w:tr>
      <w:tr>
        <w:tc>
          <w:tcPr>
            <w:tcW w:type="dxa" w:w="2400"/>
            <w:tcBorders>
              <w:top w:val="none" w:color="FFFFFF" w:sz="0"/>
              <w:left w:val="none" w:color="FFFFFF" w:sz="0"/>
              <w:bottom w:val="single" w:color="E2E8F0" w:sz="2"/>
              <w:right w:val="none" w:color="FFFFFF" w:sz="0"/>
            </w:tcBorders>
            <w:tcMar>
              <w:top w:type="dxa" w:w="80"/>
              <w:left w:type="dxa" w:w="0"/>
              <w:bottom w:type="dxa" w:w="80"/>
              <w:right w:type="dxa" w:w="120"/>
            </w:tcMar>
          </w:tcPr>
          <w:p>
            <w:r>
              <w:rPr>
                <w:rFonts w:ascii="Arial" w:cs="Arial" w:eastAsia="Arial" w:hAnsi="Arial"/>
                <w:b/>
                <w:bCs/>
                <w:color w:val="64748B"/>
                <w:sz w:val="18"/>
                <w:szCs w:val="18"/>
              </w:rPr>
              <w:t xml:space="preserve">Best for professional look</w:t>
            </w:r>
          </w:p>
        </w:tc>
        <w:tc>
          <w:tcPr>
            <w:tcW w:type="dxa" w:w="6960"/>
            <w:tcBorders>
              <w:top w:val="none" w:color="FFFFFF" w:sz="0"/>
              <w:left w:val="none" w:color="FFFFFF" w:sz="0"/>
              <w:bottom w:val="single" w:color="E2E8F0" w:sz="2"/>
              <w:right w:val="none" w:color="FFFFFF" w:sz="0"/>
            </w:tcBorders>
            <w:tcMar>
              <w:top w:type="dxa" w:w="80"/>
              <w:left w:type="dxa" w:w="120"/>
              <w:bottom w:type="dxa" w:w="80"/>
              <w:right w:type="dxa" w:w="0"/>
            </w:tcMar>
          </w:tcPr>
          <w:p>
            <w:r>
              <w:rPr>
                <w:rFonts w:ascii="Arial" w:cs="Arial" w:eastAsia="Arial" w:hAnsi="Arial"/>
                <w:color w:val="1A1A1A"/>
                <w:sz w:val="20"/>
                <w:szCs w:val="20"/>
              </w:rPr>
              <w:t xml:space="preserve">V3 Band — the green band creates the strongest visual signature. Recommended for featured game modes, high-stakes rounds, or any context where impression matters.</w:t>
            </w:r>
          </w:p>
        </w:tc>
      </w:tr>
    </w:tbl>
    <w:p>
      <w:pPr>
        <w:spacing w:before="0" w:after="60"/>
      </w:pPr>
      <w:r>
        <w:t xml:space="preserve"/>
      </w:r>
    </w:p>
    <w:p>
      <w:pPr>
        <w:spacing w:before="40" w:after="60"/>
      </w:pPr>
      <w:r>
        <w:rPr>
          <w:rFonts w:ascii="Arial" w:cs="Arial" w:eastAsia="Arial" w:hAnsi="Arial"/>
          <w:color w:val="64748B"/>
          <w:sz w:val="20"/>
          <w:szCs w:val="20"/>
        </w:rPr>
        <w:t xml:space="preserve">Implementation note: Build V1 first to establish the shared component primitives (LIVE badge, call count row, footer meta row). V2 and V3 reuse these primitives with different layout containers. All three can share a single LiveCallData data class as the state input.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2026-03-10T16:44:50.483Z</dcterms:created>
  <dcterms:modified xsi:type="dcterms:W3CDTF">2026-03-10T16:44:50.484Z</dcterms:modified>
</cp:coreProperties>
</file>

<file path=docProps/custom.xml><?xml version="1.0" encoding="utf-8"?>
<Properties xmlns="http://schemas.openxmlformats.org/officeDocument/2006/custom-properties" xmlns:vt="http://schemas.openxmlformats.org/officeDocument/2006/docPropsVTypes"/>
</file>