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Css精灵图</w:t>
      </w:r>
    </w:p>
    <w:p>
      <w:pPr>
        <w:rPr>
          <w:rFonts w:hint="eastAsia"/>
        </w:rPr>
      </w:pPr>
      <w:r>
        <w:rPr>
          <w:rFonts w:hint="eastAsia"/>
        </w:rPr>
        <w:t>CSS 精灵其实是将网页中的一些背景图像整合到一张大图中（精灵图）。然而，各个网页元素通常只需要精灵图中不同位置的某个小图，要想精确定位到精灵图中的某个小图，就需要使用CSS的background-image、background-repeat和background-position属性进行背景定位，其中最关键的是使用background-position属性精确地定位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背景连写法：background：url（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qq.png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） -89px  -99px;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  1：精灵图只能用打开的方式，不能使用导入得方式打开。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2：使用精灵图的时候注意坐标位置的正负取值。        </w:t>
      </w:r>
    </w:p>
    <w:p>
      <w:pPr>
        <w:ind w:firstLine="420"/>
      </w:pPr>
      <w:r>
        <w:drawing>
          <wp:inline distT="0" distB="0" distL="114300" distR="114300">
            <wp:extent cx="3032760" cy="28936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89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72540" cy="5105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坐标是指上左边框的距离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9F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2018-10-13T15:27:05Z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