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title&gt; Adobe Summer Internship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An end-to-end solution for satisfying the creative video content creation needs of Youtubers, Social Media Managers etc.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May’16 - July’16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Randeep Singh, Lead Designer, Adobe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&lt;manager&gt;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Vinay Dixit, Director UX India, Adobe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1.1.png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1.2.png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1.3.png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1.4.png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1.5.png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1.6.gif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title&gt; Saathi -  Making it Easier for Children with Learning Disabilities to understand the Concept of Time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Project was our submission for Student Design Competition for CHI’16 Conference. The problem statement was “Creating an Assistive Technology for those who present needs outside of the norm”.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Oct’15 - Jan’16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Asst. Prof. Abhishek Shrivastav, Department of Design, IIT Guwahati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2.1.png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2.2.png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2.3.png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title&gt; Ignition Startup Assist - Systems Approach to Design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Analysis of the journey of various Service-based Startups &amp; developing a solution for increasing their chances of success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Jan’16 - May’16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Asst. Prof. Pratul Kalita, Department of Design, IIT Guwahati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3.1.png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3.2.png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&lt;project title&gt; Smart tags to increase social interactions at airports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&lt;brief&gt;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Project was our submission for Student Design Competition for OZCHI’15 Conference. The problem statement was “Increasing human interaction and social connectivity among socially isolated people”.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&lt;duration&gt;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Aug’15 - Sep’15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&lt;mentor&gt;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Team-driven Project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&lt;order&gt;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4.1.png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4.2.png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4.3.png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