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8F15C" w14:textId="77777777" w:rsidR="00807428" w:rsidRDefault="00807428" w:rsidP="00807428">
      <w:pPr>
        <w:spacing w:line="480" w:lineRule="auto"/>
        <w:jc w:val="center"/>
        <w:rPr>
          <w:b/>
        </w:rPr>
      </w:pPr>
      <w:r w:rsidRPr="00B53FB9">
        <w:rPr>
          <w:b/>
        </w:rPr>
        <w:t>Results</w:t>
      </w:r>
    </w:p>
    <w:p w14:paraId="4450052D" w14:textId="77777777" w:rsidR="00807428" w:rsidRPr="005D3A5B" w:rsidRDefault="00807428" w:rsidP="00807428">
      <w:pPr>
        <w:spacing w:line="480" w:lineRule="auto"/>
        <w:rPr>
          <w:i/>
        </w:rPr>
      </w:pPr>
      <w:r w:rsidRPr="005D3A5B">
        <w:rPr>
          <w:i/>
        </w:rPr>
        <w:t>County Fixed Effects</w:t>
      </w:r>
    </w:p>
    <w:p w14:paraId="4CE37660" w14:textId="77777777" w:rsidR="00807428" w:rsidRDefault="00807428" w:rsidP="00807428">
      <w:pPr>
        <w:spacing w:line="480" w:lineRule="auto"/>
        <w:ind w:firstLine="360"/>
      </w:pPr>
      <w:r>
        <w:t>Table 2 shows the results of the rate spread regression models using the aggregated HMDA data. The first three specifications can be characterized by the equation:</w:t>
      </w:r>
    </w:p>
    <w:p w14:paraId="4D411159" w14:textId="77777777" w:rsidR="00807428" w:rsidRDefault="00231D5C" w:rsidP="00807428">
      <w:pPr>
        <w:spacing w:line="480" w:lineRule="auto"/>
        <w:ind w:firstLine="4140"/>
      </w:pPr>
      <m:oMathPara>
        <m:oMath>
          <m:eqArr>
            <m:eqArrPr>
              <m:maxDist m:val="1"/>
              <m:ctrlPr>
                <w:rPr>
                  <w:rFonts w:ascii="Cambria Math" w:hAnsi="Cambria Math"/>
                  <w:i/>
                </w:rPr>
              </m:ctrlPr>
            </m:eqArrPr>
            <m:e>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r>
                <w:rPr>
                  <w:rFonts w:ascii="Cambria Math" w:hAnsi="Cambria Math"/>
                </w:rPr>
                <m:t>#</m:t>
              </m:r>
              <m:d>
                <m:dPr>
                  <m:ctrlPr>
                    <w:rPr>
                      <w:rFonts w:ascii="Cambria Math" w:hAnsi="Cambria Math"/>
                    </w:rPr>
                  </m:ctrlPr>
                </m:dPr>
                <m:e>
                  <m:r>
                    <m:rPr>
                      <m:sty m:val="p"/>
                    </m:rPr>
                    <w:rPr>
                      <w:rFonts w:ascii="Cambria Math" w:hAnsi="Cambria Math"/>
                    </w:rPr>
                    <m:t>1</m:t>
                  </m:r>
                </m:e>
              </m:d>
            </m:e>
          </m:eqArr>
          <m:r>
            <m:rPr>
              <m:sty m:val="p"/>
            </m:rPr>
            <w:br/>
          </m:r>
        </m:oMath>
      </m:oMathPara>
      <w:r w:rsidR="00807428">
        <w:t>where</w:t>
      </w:r>
      <w:r w:rsidR="00807428" w:rsidRPr="007E4483">
        <w:rPr>
          <w:i/>
        </w:rPr>
        <w:t xml:space="preserve"> y</w:t>
      </w:r>
      <w:r w:rsidR="00807428">
        <w:t xml:space="preserve"> is the average rate spread in tract </w:t>
      </w:r>
      <w:r w:rsidR="00807428">
        <w:rPr>
          <w:i/>
        </w:rPr>
        <w:t>i</w:t>
      </w:r>
      <w:r w:rsidR="00807428">
        <w:t xml:space="preserve"> and </w:t>
      </w:r>
      <w:r w:rsidR="00807428" w:rsidRPr="00D12337">
        <w:rPr>
          <w:i/>
        </w:rPr>
        <w:t>X</w:t>
      </w:r>
      <w:r w:rsidR="00807428">
        <w:rPr>
          <w:i/>
        </w:rPr>
        <w:t xml:space="preserve"> </w:t>
      </w:r>
      <w:r w:rsidR="00807428">
        <w:t>represents the tract-level variables in the model described above. The first specification only includes the binary variable “Majority Black” which indicates that over half the applicants in a tract are black. This is included to showcase the rate gap before adjusting for borrower and loan characteristics. The second specification includes borrower and loan characteristics, for example, applicant race and loan term. The difference in the estimated coefficient for this specification and specification one can be attributed to statistical discrimination on the basis of weaker borrower characteristics and taste for riskier loan types, like manufactured housing, for black borrowers. The third specification further includes tract characteristics like the prominence of the GSEs, the market share of the largest lender, and the credit proxy variable measuring the proportion of applicants denied on the basis of credit.</w:t>
      </w:r>
    </w:p>
    <w:p w14:paraId="54436051" w14:textId="77777777" w:rsidR="00807428" w:rsidRPr="007E4483" w:rsidRDefault="00807428" w:rsidP="00807428">
      <w:pPr>
        <w:spacing w:line="480" w:lineRule="auto"/>
      </w:pPr>
      <w:r>
        <w:t>Lastly, the fourth specification includes county-level fixed effects. This specification will henceforth be the baseline model and can be characterized by the equation:</w:t>
      </w:r>
    </w:p>
    <w:p w14:paraId="021195FB" w14:textId="3FE14020" w:rsidR="00807428" w:rsidRPr="00776D45" w:rsidRDefault="00231D5C" w:rsidP="00776D45">
      <w:pPr>
        <w:spacing w:line="480" w:lineRule="auto"/>
        <w:ind w:left="360" w:firstLine="360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i/>
                    </w:rPr>
                  </m:ctrlP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14:paraId="77B3691D" w14:textId="77777777" w:rsidR="00807428" w:rsidRDefault="00807428" w:rsidP="00807428">
      <w:pPr>
        <w:spacing w:line="480" w:lineRule="auto"/>
        <w:rPr>
          <w:b/>
          <w:color w:val="000000"/>
          <w:sz w:val="22"/>
          <w:szCs w:val="21"/>
        </w:rPr>
      </w:pPr>
      <w:r>
        <w:t xml:space="preserve">where </w:t>
      </w:r>
      <w:r>
        <w:rPr>
          <w:i/>
        </w:rPr>
        <w:t>X</w:t>
      </w:r>
      <w:r>
        <w:t xml:space="preserve"> and </w:t>
      </w:r>
      <w:r>
        <w:rPr>
          <w:i/>
        </w:rPr>
        <w:t xml:space="preserve">y </w:t>
      </w:r>
      <w:r>
        <w:t xml:space="preserve">are the same as equation (1) and with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oMath>
      <w:r>
        <w:t xml:space="preserve"> representing the county fixed effects. These fixed effects capture the idiosyncratic differences across geographical regions, and their effect on rate spreads.</w:t>
      </w:r>
    </w:p>
    <w:p w14:paraId="43BC10EB" w14:textId="77777777" w:rsidR="00776D45" w:rsidRDefault="00776D45" w:rsidP="00807428">
      <w:pPr>
        <w:rPr>
          <w:b/>
          <w:color w:val="000000"/>
          <w:sz w:val="22"/>
          <w:szCs w:val="21"/>
        </w:rPr>
      </w:pPr>
    </w:p>
    <w:p w14:paraId="159D99E0" w14:textId="77777777" w:rsidR="00776D45" w:rsidRDefault="00776D45" w:rsidP="00807428">
      <w:pPr>
        <w:rPr>
          <w:b/>
          <w:color w:val="000000"/>
          <w:sz w:val="22"/>
          <w:szCs w:val="21"/>
        </w:rPr>
      </w:pPr>
    </w:p>
    <w:p w14:paraId="38D480D0" w14:textId="20E1E868" w:rsidR="00807428" w:rsidRDefault="00807428" w:rsidP="00807428">
      <w:pPr>
        <w:rPr>
          <w:b/>
          <w:color w:val="000000"/>
          <w:sz w:val="22"/>
          <w:szCs w:val="21"/>
        </w:rPr>
      </w:pPr>
      <w:r w:rsidRPr="0025020B">
        <w:rPr>
          <w:b/>
          <w:color w:val="000000"/>
          <w:sz w:val="22"/>
          <w:szCs w:val="21"/>
        </w:rPr>
        <w:lastRenderedPageBreak/>
        <w:t>Table 2</w:t>
      </w:r>
    </w:p>
    <w:p w14:paraId="4B5E7F1B" w14:textId="77777777" w:rsidR="00807428" w:rsidRPr="0025020B" w:rsidRDefault="00807428" w:rsidP="00807428">
      <w:pPr>
        <w:rPr>
          <w:b/>
          <w:color w:val="000000"/>
          <w:sz w:val="21"/>
          <w:szCs w:val="21"/>
        </w:rPr>
      </w:pPr>
      <w:r>
        <w:rPr>
          <w:b/>
          <w:color w:val="000000"/>
          <w:sz w:val="21"/>
          <w:szCs w:val="21"/>
        </w:rPr>
        <w:t>Regression models of rate spread on aggregated HMDA variables</w:t>
      </w:r>
    </w:p>
    <w:p w14:paraId="033F1CF5" w14:textId="77777777" w:rsidR="00807428" w:rsidRDefault="00807428" w:rsidP="00807428">
      <w:r w:rsidRPr="0025020B">
        <w:rPr>
          <w:color w:val="000000"/>
          <w:sz w:val="21"/>
          <w:szCs w:val="21"/>
        </w:rPr>
        <w:t>Dependent variable: Rate Spread</w:t>
      </w:r>
    </w:p>
    <w:tbl>
      <w:tblPr>
        <w:tblW w:w="9090" w:type="dxa"/>
        <w:tblLayout w:type="fixed"/>
        <w:tblLook w:val="04A0" w:firstRow="1" w:lastRow="0" w:firstColumn="1" w:lastColumn="0" w:noHBand="0" w:noVBand="1"/>
      </w:tblPr>
      <w:tblGrid>
        <w:gridCol w:w="3380"/>
        <w:gridCol w:w="1427"/>
        <w:gridCol w:w="1428"/>
        <w:gridCol w:w="1427"/>
        <w:gridCol w:w="1428"/>
      </w:tblGrid>
      <w:tr w:rsidR="00807428" w:rsidRPr="0025020B" w14:paraId="39BB5890" w14:textId="77777777" w:rsidTr="001B1DE8">
        <w:trPr>
          <w:trHeight w:val="20"/>
        </w:trPr>
        <w:tc>
          <w:tcPr>
            <w:tcW w:w="3380" w:type="dxa"/>
            <w:tcBorders>
              <w:top w:val="single" w:sz="12" w:space="0" w:color="auto"/>
              <w:left w:val="nil"/>
              <w:bottom w:val="nil"/>
              <w:right w:val="nil"/>
            </w:tcBorders>
            <w:shd w:val="clear" w:color="000000" w:fill="FFFFFF"/>
            <w:vAlign w:val="center"/>
            <w:hideMark/>
          </w:tcPr>
          <w:p w14:paraId="274696EE" w14:textId="77777777" w:rsidR="00807428" w:rsidRPr="0025020B" w:rsidRDefault="00807428" w:rsidP="00363DD6">
            <w:pPr>
              <w:rPr>
                <w:color w:val="000000"/>
                <w:sz w:val="21"/>
                <w:szCs w:val="21"/>
              </w:rPr>
            </w:pPr>
            <w:r w:rsidRPr="0025020B">
              <w:rPr>
                <w:color w:val="000000"/>
                <w:sz w:val="21"/>
                <w:szCs w:val="21"/>
              </w:rPr>
              <w:t>Variables</w:t>
            </w:r>
          </w:p>
        </w:tc>
        <w:tc>
          <w:tcPr>
            <w:tcW w:w="1427" w:type="dxa"/>
            <w:tcBorders>
              <w:top w:val="single" w:sz="12" w:space="0" w:color="000000"/>
              <w:left w:val="nil"/>
              <w:bottom w:val="nil"/>
              <w:right w:val="nil"/>
            </w:tcBorders>
            <w:shd w:val="clear" w:color="000000" w:fill="FFFFFF"/>
            <w:noWrap/>
            <w:vAlign w:val="bottom"/>
            <w:hideMark/>
          </w:tcPr>
          <w:p w14:paraId="5A18FD95" w14:textId="77777777" w:rsidR="00807428" w:rsidRPr="0025020B" w:rsidRDefault="00807428" w:rsidP="00363DD6">
            <w:pPr>
              <w:jc w:val="center"/>
              <w:rPr>
                <w:color w:val="000000"/>
                <w:sz w:val="21"/>
                <w:szCs w:val="21"/>
              </w:rPr>
            </w:pPr>
            <w:r w:rsidRPr="0025020B">
              <w:rPr>
                <w:color w:val="000000"/>
                <w:sz w:val="21"/>
                <w:szCs w:val="21"/>
              </w:rPr>
              <w:t>Race</w:t>
            </w:r>
          </w:p>
        </w:tc>
        <w:tc>
          <w:tcPr>
            <w:tcW w:w="1428" w:type="dxa"/>
            <w:tcBorders>
              <w:top w:val="single" w:sz="12" w:space="0" w:color="000000"/>
              <w:left w:val="nil"/>
              <w:bottom w:val="single" w:sz="4" w:space="0" w:color="auto"/>
              <w:right w:val="nil"/>
            </w:tcBorders>
            <w:shd w:val="clear" w:color="000000" w:fill="FFFFFF"/>
            <w:noWrap/>
            <w:vAlign w:val="bottom"/>
            <w:hideMark/>
          </w:tcPr>
          <w:p w14:paraId="0BC514CC" w14:textId="77777777" w:rsidR="00807428" w:rsidRPr="0025020B" w:rsidRDefault="00807428" w:rsidP="00363DD6">
            <w:pPr>
              <w:jc w:val="center"/>
              <w:rPr>
                <w:color w:val="000000"/>
                <w:sz w:val="21"/>
                <w:szCs w:val="21"/>
              </w:rPr>
            </w:pPr>
            <w:r>
              <w:rPr>
                <w:color w:val="000000"/>
                <w:sz w:val="21"/>
                <w:szCs w:val="21"/>
              </w:rPr>
              <w:t xml:space="preserve">+ </w:t>
            </w:r>
            <w:r w:rsidRPr="0025020B">
              <w:rPr>
                <w:color w:val="000000"/>
                <w:sz w:val="21"/>
                <w:szCs w:val="21"/>
              </w:rPr>
              <w:t>Borrower</w:t>
            </w:r>
          </w:p>
        </w:tc>
        <w:tc>
          <w:tcPr>
            <w:tcW w:w="1427" w:type="dxa"/>
            <w:tcBorders>
              <w:top w:val="single" w:sz="12" w:space="0" w:color="000000"/>
              <w:left w:val="nil"/>
              <w:bottom w:val="single" w:sz="4" w:space="0" w:color="auto"/>
              <w:right w:val="nil"/>
            </w:tcBorders>
            <w:shd w:val="clear" w:color="000000" w:fill="FFFFFF"/>
            <w:noWrap/>
            <w:vAlign w:val="bottom"/>
            <w:hideMark/>
          </w:tcPr>
          <w:p w14:paraId="22BB9D85" w14:textId="77777777" w:rsidR="00807428" w:rsidRPr="0025020B" w:rsidRDefault="00807428" w:rsidP="00363DD6">
            <w:pPr>
              <w:jc w:val="center"/>
              <w:rPr>
                <w:color w:val="000000"/>
                <w:sz w:val="21"/>
                <w:szCs w:val="21"/>
              </w:rPr>
            </w:pPr>
            <w:r>
              <w:rPr>
                <w:color w:val="000000"/>
                <w:sz w:val="21"/>
                <w:szCs w:val="21"/>
              </w:rPr>
              <w:t xml:space="preserve">+ </w:t>
            </w:r>
            <w:r w:rsidRPr="0025020B">
              <w:rPr>
                <w:color w:val="000000"/>
                <w:sz w:val="21"/>
                <w:szCs w:val="21"/>
              </w:rPr>
              <w:t>Tract</w:t>
            </w:r>
          </w:p>
        </w:tc>
        <w:tc>
          <w:tcPr>
            <w:tcW w:w="1428" w:type="dxa"/>
            <w:tcBorders>
              <w:top w:val="single" w:sz="12" w:space="0" w:color="000000"/>
              <w:left w:val="nil"/>
              <w:bottom w:val="single" w:sz="4" w:space="0" w:color="auto"/>
              <w:right w:val="nil"/>
            </w:tcBorders>
            <w:shd w:val="clear" w:color="000000" w:fill="FFFFFF"/>
            <w:noWrap/>
            <w:vAlign w:val="bottom"/>
            <w:hideMark/>
          </w:tcPr>
          <w:p w14:paraId="1296AEC4" w14:textId="77777777" w:rsidR="00807428" w:rsidRPr="0025020B" w:rsidRDefault="00807428" w:rsidP="00363DD6">
            <w:pPr>
              <w:jc w:val="center"/>
              <w:rPr>
                <w:color w:val="000000"/>
                <w:sz w:val="21"/>
                <w:szCs w:val="21"/>
              </w:rPr>
            </w:pPr>
            <w:r>
              <w:rPr>
                <w:color w:val="000000"/>
                <w:sz w:val="21"/>
                <w:szCs w:val="21"/>
              </w:rPr>
              <w:t xml:space="preserve">+ County </w:t>
            </w:r>
            <w:r w:rsidRPr="0025020B">
              <w:rPr>
                <w:color w:val="000000"/>
                <w:sz w:val="21"/>
                <w:szCs w:val="21"/>
              </w:rPr>
              <w:t>FE</w:t>
            </w:r>
          </w:p>
        </w:tc>
      </w:tr>
      <w:tr w:rsidR="00807428" w:rsidRPr="0025020B" w14:paraId="51BFA1FB" w14:textId="77777777" w:rsidTr="001B1DE8">
        <w:trPr>
          <w:trHeight w:val="20"/>
        </w:trPr>
        <w:tc>
          <w:tcPr>
            <w:tcW w:w="3380" w:type="dxa"/>
            <w:tcBorders>
              <w:top w:val="nil"/>
              <w:left w:val="nil"/>
              <w:bottom w:val="single" w:sz="8" w:space="0" w:color="000000"/>
              <w:right w:val="nil"/>
            </w:tcBorders>
            <w:shd w:val="clear" w:color="000000" w:fill="FFFFFF"/>
            <w:vAlign w:val="center"/>
            <w:hideMark/>
          </w:tcPr>
          <w:p w14:paraId="63417177" w14:textId="77777777" w:rsidR="00807428" w:rsidRPr="0025020B" w:rsidRDefault="00807428" w:rsidP="00363DD6">
            <w:pPr>
              <w:rPr>
                <w:color w:val="000000"/>
                <w:sz w:val="21"/>
                <w:szCs w:val="21"/>
              </w:rPr>
            </w:pPr>
            <w:r w:rsidRPr="0025020B">
              <w:rPr>
                <w:color w:val="000000"/>
                <w:sz w:val="21"/>
                <w:szCs w:val="21"/>
              </w:rPr>
              <w:t> </w:t>
            </w:r>
          </w:p>
        </w:tc>
        <w:tc>
          <w:tcPr>
            <w:tcW w:w="1427" w:type="dxa"/>
            <w:tcBorders>
              <w:top w:val="single" w:sz="4" w:space="0" w:color="auto"/>
              <w:left w:val="nil"/>
              <w:bottom w:val="single" w:sz="8" w:space="0" w:color="auto"/>
              <w:right w:val="nil"/>
            </w:tcBorders>
            <w:shd w:val="clear" w:color="000000" w:fill="FFFFFF"/>
            <w:vAlign w:val="center"/>
            <w:hideMark/>
          </w:tcPr>
          <w:p w14:paraId="60AAC44F" w14:textId="77777777" w:rsidR="00807428" w:rsidRPr="0025020B" w:rsidRDefault="00807428" w:rsidP="00363DD6">
            <w:pPr>
              <w:jc w:val="center"/>
              <w:rPr>
                <w:sz w:val="21"/>
                <w:szCs w:val="21"/>
              </w:rPr>
            </w:pPr>
            <w:r w:rsidRPr="0025020B">
              <w:rPr>
                <w:sz w:val="21"/>
                <w:szCs w:val="21"/>
              </w:rPr>
              <w:t>(1)</w:t>
            </w:r>
          </w:p>
        </w:tc>
        <w:tc>
          <w:tcPr>
            <w:tcW w:w="1428" w:type="dxa"/>
            <w:tcBorders>
              <w:top w:val="nil"/>
              <w:left w:val="nil"/>
              <w:bottom w:val="single" w:sz="8" w:space="0" w:color="auto"/>
              <w:right w:val="nil"/>
            </w:tcBorders>
            <w:shd w:val="clear" w:color="000000" w:fill="FFFFFF"/>
            <w:vAlign w:val="center"/>
            <w:hideMark/>
          </w:tcPr>
          <w:p w14:paraId="123A01FD" w14:textId="77777777" w:rsidR="00807428" w:rsidRPr="0025020B" w:rsidRDefault="00807428" w:rsidP="00363DD6">
            <w:pPr>
              <w:jc w:val="center"/>
              <w:rPr>
                <w:sz w:val="21"/>
                <w:szCs w:val="21"/>
              </w:rPr>
            </w:pPr>
            <w:r w:rsidRPr="0025020B">
              <w:rPr>
                <w:sz w:val="21"/>
                <w:szCs w:val="21"/>
              </w:rPr>
              <w:t>(2)</w:t>
            </w:r>
          </w:p>
        </w:tc>
        <w:tc>
          <w:tcPr>
            <w:tcW w:w="1427" w:type="dxa"/>
            <w:tcBorders>
              <w:top w:val="nil"/>
              <w:left w:val="nil"/>
              <w:bottom w:val="nil"/>
              <w:right w:val="nil"/>
            </w:tcBorders>
            <w:shd w:val="clear" w:color="000000" w:fill="FFFFFF"/>
            <w:vAlign w:val="center"/>
            <w:hideMark/>
          </w:tcPr>
          <w:p w14:paraId="566B00FB" w14:textId="77777777" w:rsidR="00807428" w:rsidRPr="0025020B" w:rsidRDefault="00807428" w:rsidP="00363DD6">
            <w:pPr>
              <w:jc w:val="center"/>
              <w:rPr>
                <w:sz w:val="21"/>
                <w:szCs w:val="21"/>
              </w:rPr>
            </w:pPr>
            <w:r w:rsidRPr="0025020B">
              <w:rPr>
                <w:sz w:val="21"/>
                <w:szCs w:val="21"/>
              </w:rPr>
              <w:t>(3)</w:t>
            </w:r>
          </w:p>
        </w:tc>
        <w:tc>
          <w:tcPr>
            <w:tcW w:w="1428" w:type="dxa"/>
            <w:tcBorders>
              <w:top w:val="nil"/>
              <w:left w:val="nil"/>
              <w:bottom w:val="nil"/>
              <w:right w:val="nil"/>
            </w:tcBorders>
            <w:shd w:val="clear" w:color="000000" w:fill="FFFFFF"/>
            <w:vAlign w:val="center"/>
            <w:hideMark/>
          </w:tcPr>
          <w:p w14:paraId="62116E41" w14:textId="77777777" w:rsidR="00807428" w:rsidRPr="0025020B" w:rsidRDefault="00807428" w:rsidP="00363DD6">
            <w:pPr>
              <w:jc w:val="center"/>
              <w:rPr>
                <w:sz w:val="21"/>
                <w:szCs w:val="21"/>
              </w:rPr>
            </w:pPr>
            <w:r w:rsidRPr="0025020B">
              <w:rPr>
                <w:sz w:val="21"/>
                <w:szCs w:val="21"/>
              </w:rPr>
              <w:t>(4)</w:t>
            </w:r>
          </w:p>
        </w:tc>
      </w:tr>
      <w:tr w:rsidR="00807428" w:rsidRPr="0025020B" w14:paraId="73EFC2E4" w14:textId="77777777" w:rsidTr="001B1DE8">
        <w:trPr>
          <w:trHeight w:val="20"/>
        </w:trPr>
        <w:tc>
          <w:tcPr>
            <w:tcW w:w="3380" w:type="dxa"/>
            <w:tcBorders>
              <w:top w:val="nil"/>
              <w:left w:val="nil"/>
              <w:right w:val="nil"/>
            </w:tcBorders>
            <w:shd w:val="clear" w:color="000000" w:fill="FFFFFF"/>
            <w:vAlign w:val="center"/>
            <w:hideMark/>
          </w:tcPr>
          <w:p w14:paraId="3FB60961" w14:textId="77777777" w:rsidR="00807428" w:rsidRPr="0025020B" w:rsidRDefault="00807428" w:rsidP="00363DD6">
            <w:pPr>
              <w:rPr>
                <w:sz w:val="21"/>
                <w:szCs w:val="21"/>
              </w:rPr>
            </w:pPr>
            <w:r w:rsidRPr="0025020B">
              <w:rPr>
                <w:sz w:val="21"/>
                <w:szCs w:val="21"/>
              </w:rPr>
              <w:t>Majority Black</w:t>
            </w:r>
          </w:p>
        </w:tc>
        <w:tc>
          <w:tcPr>
            <w:tcW w:w="1427" w:type="dxa"/>
            <w:tcBorders>
              <w:top w:val="nil"/>
              <w:left w:val="nil"/>
              <w:bottom w:val="nil"/>
              <w:right w:val="nil"/>
            </w:tcBorders>
            <w:shd w:val="clear" w:color="000000" w:fill="FFFFFF"/>
            <w:vAlign w:val="center"/>
            <w:hideMark/>
          </w:tcPr>
          <w:p w14:paraId="459296FE" w14:textId="77777777" w:rsidR="00807428" w:rsidRPr="0025020B" w:rsidRDefault="00807428" w:rsidP="00363DD6">
            <w:pPr>
              <w:jc w:val="center"/>
              <w:rPr>
                <w:sz w:val="21"/>
                <w:szCs w:val="21"/>
              </w:rPr>
            </w:pPr>
            <w:r w:rsidRPr="0025020B">
              <w:rPr>
                <w:sz w:val="21"/>
                <w:szCs w:val="21"/>
              </w:rPr>
              <w:t>0.525</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23B7766D" w14:textId="77777777" w:rsidR="00807428" w:rsidRPr="0025020B" w:rsidRDefault="00807428" w:rsidP="00363DD6">
            <w:pPr>
              <w:jc w:val="center"/>
              <w:rPr>
                <w:sz w:val="21"/>
                <w:szCs w:val="21"/>
              </w:rPr>
            </w:pPr>
            <w:r w:rsidRPr="0025020B">
              <w:rPr>
                <w:sz w:val="21"/>
                <w:szCs w:val="21"/>
              </w:rPr>
              <w:t>0.212</w:t>
            </w:r>
            <w:r w:rsidRPr="0025020B">
              <w:rPr>
                <w:color w:val="000000"/>
                <w:sz w:val="21"/>
                <w:szCs w:val="21"/>
                <w:vertAlign w:val="superscript"/>
              </w:rPr>
              <w:t>***</w:t>
            </w:r>
          </w:p>
        </w:tc>
        <w:tc>
          <w:tcPr>
            <w:tcW w:w="1427" w:type="dxa"/>
            <w:tcBorders>
              <w:top w:val="single" w:sz="8" w:space="0" w:color="auto"/>
              <w:left w:val="nil"/>
              <w:bottom w:val="nil"/>
              <w:right w:val="nil"/>
            </w:tcBorders>
            <w:shd w:val="clear" w:color="000000" w:fill="FFFFFF"/>
            <w:vAlign w:val="center"/>
            <w:hideMark/>
          </w:tcPr>
          <w:p w14:paraId="5046F981" w14:textId="77777777" w:rsidR="00807428" w:rsidRPr="0025020B" w:rsidRDefault="00807428" w:rsidP="00363DD6">
            <w:pPr>
              <w:jc w:val="center"/>
              <w:rPr>
                <w:sz w:val="21"/>
                <w:szCs w:val="21"/>
              </w:rPr>
            </w:pPr>
            <w:r w:rsidRPr="0025020B">
              <w:rPr>
                <w:sz w:val="21"/>
                <w:szCs w:val="21"/>
              </w:rPr>
              <w:t>0.175</w:t>
            </w:r>
            <w:r w:rsidRPr="0025020B">
              <w:rPr>
                <w:color w:val="000000"/>
                <w:sz w:val="21"/>
                <w:szCs w:val="21"/>
                <w:vertAlign w:val="superscript"/>
              </w:rPr>
              <w:t>***</w:t>
            </w:r>
          </w:p>
        </w:tc>
        <w:tc>
          <w:tcPr>
            <w:tcW w:w="1428" w:type="dxa"/>
            <w:tcBorders>
              <w:top w:val="single" w:sz="8" w:space="0" w:color="auto"/>
              <w:left w:val="nil"/>
              <w:bottom w:val="nil"/>
              <w:right w:val="nil"/>
            </w:tcBorders>
            <w:shd w:val="clear" w:color="000000" w:fill="FFFFFF"/>
            <w:vAlign w:val="center"/>
            <w:hideMark/>
          </w:tcPr>
          <w:p w14:paraId="4DDEB5C2" w14:textId="77777777" w:rsidR="00807428" w:rsidRPr="0025020B" w:rsidRDefault="00807428" w:rsidP="00363DD6">
            <w:pPr>
              <w:jc w:val="center"/>
              <w:rPr>
                <w:sz w:val="21"/>
                <w:szCs w:val="21"/>
              </w:rPr>
            </w:pPr>
            <w:r w:rsidRPr="0025020B">
              <w:rPr>
                <w:sz w:val="21"/>
                <w:szCs w:val="21"/>
              </w:rPr>
              <w:t>0.118</w:t>
            </w:r>
            <w:r w:rsidRPr="0025020B">
              <w:rPr>
                <w:color w:val="000000"/>
                <w:sz w:val="21"/>
                <w:szCs w:val="21"/>
                <w:vertAlign w:val="superscript"/>
              </w:rPr>
              <w:t>***</w:t>
            </w:r>
          </w:p>
        </w:tc>
      </w:tr>
      <w:tr w:rsidR="00807428" w:rsidRPr="0025020B" w14:paraId="56BBA060" w14:textId="77777777" w:rsidTr="001B1DE8">
        <w:trPr>
          <w:trHeight w:val="20"/>
        </w:trPr>
        <w:tc>
          <w:tcPr>
            <w:tcW w:w="3380" w:type="dxa"/>
            <w:tcBorders>
              <w:top w:val="nil"/>
              <w:left w:val="nil"/>
              <w:right w:val="nil"/>
            </w:tcBorders>
            <w:shd w:val="clear" w:color="000000" w:fill="FFFFFF"/>
            <w:vAlign w:val="center"/>
            <w:hideMark/>
          </w:tcPr>
          <w:p w14:paraId="5014A8DA"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39E8F22" w14:textId="77777777" w:rsidR="00807428" w:rsidRPr="0025020B" w:rsidRDefault="00807428" w:rsidP="00363DD6">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34E5E052" w14:textId="77777777" w:rsidR="00807428" w:rsidRPr="0025020B" w:rsidRDefault="00807428" w:rsidP="00363DD6">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71DB82E0" w14:textId="77777777" w:rsidR="00807428" w:rsidRPr="0025020B" w:rsidRDefault="00807428" w:rsidP="00363DD6">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0D38CA75" w14:textId="77777777" w:rsidR="00807428" w:rsidRPr="0025020B" w:rsidRDefault="00807428" w:rsidP="00363DD6">
            <w:pPr>
              <w:jc w:val="center"/>
              <w:rPr>
                <w:sz w:val="21"/>
                <w:szCs w:val="21"/>
              </w:rPr>
            </w:pPr>
            <w:r w:rsidRPr="0025020B">
              <w:rPr>
                <w:sz w:val="21"/>
                <w:szCs w:val="21"/>
              </w:rPr>
              <w:t>(0.01)</w:t>
            </w:r>
          </w:p>
        </w:tc>
      </w:tr>
      <w:tr w:rsidR="00807428" w:rsidRPr="0025020B" w14:paraId="138766FD" w14:textId="77777777" w:rsidTr="001B1DE8">
        <w:trPr>
          <w:trHeight w:val="20"/>
        </w:trPr>
        <w:tc>
          <w:tcPr>
            <w:tcW w:w="3380" w:type="dxa"/>
            <w:tcBorders>
              <w:left w:val="nil"/>
              <w:bottom w:val="nil"/>
              <w:right w:val="nil"/>
            </w:tcBorders>
            <w:shd w:val="clear" w:color="000000" w:fill="FFFFFF"/>
            <w:vAlign w:val="center"/>
            <w:hideMark/>
          </w:tcPr>
          <w:p w14:paraId="770473B7" w14:textId="77777777" w:rsidR="00807428" w:rsidRPr="0025020B" w:rsidRDefault="00807428" w:rsidP="00363DD6">
            <w:pPr>
              <w:rPr>
                <w:color w:val="000000"/>
                <w:sz w:val="21"/>
                <w:szCs w:val="21"/>
              </w:rPr>
            </w:pPr>
            <w:r w:rsidRPr="0025020B">
              <w:rPr>
                <w:color w:val="000000"/>
                <w:sz w:val="21"/>
                <w:szCs w:val="21"/>
              </w:rPr>
              <w:t>Income</w:t>
            </w:r>
          </w:p>
        </w:tc>
        <w:tc>
          <w:tcPr>
            <w:tcW w:w="1427" w:type="dxa"/>
            <w:tcBorders>
              <w:top w:val="nil"/>
              <w:left w:val="nil"/>
              <w:bottom w:val="nil"/>
              <w:right w:val="nil"/>
            </w:tcBorders>
            <w:shd w:val="clear" w:color="000000" w:fill="FFFFFF"/>
            <w:vAlign w:val="center"/>
            <w:hideMark/>
          </w:tcPr>
          <w:p w14:paraId="00D82274"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EAE7010" w14:textId="77777777" w:rsidR="00807428" w:rsidRPr="0025020B" w:rsidRDefault="00807428" w:rsidP="00363DD6">
            <w:pPr>
              <w:jc w:val="center"/>
              <w:rPr>
                <w:sz w:val="21"/>
                <w:szCs w:val="21"/>
              </w:rPr>
            </w:pPr>
            <w:r w:rsidRPr="0025020B">
              <w:rPr>
                <w:sz w:val="21"/>
                <w:szCs w:val="21"/>
              </w:rPr>
              <w:t>-0.001</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050E114D" w14:textId="77777777" w:rsidR="00807428" w:rsidRPr="0025020B" w:rsidRDefault="00807428" w:rsidP="00363DD6">
            <w:pPr>
              <w:jc w:val="center"/>
              <w:rPr>
                <w:sz w:val="21"/>
                <w:szCs w:val="21"/>
              </w:rPr>
            </w:pPr>
            <w:r w:rsidRPr="0025020B">
              <w:rPr>
                <w:sz w:val="21"/>
                <w:szCs w:val="21"/>
              </w:rPr>
              <w:t>-0.00</w:t>
            </w:r>
            <w:r>
              <w:rPr>
                <w:sz w:val="21"/>
                <w:szCs w:val="21"/>
              </w:rPr>
              <w:t>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07BA5CD1" w14:textId="77777777" w:rsidR="00807428" w:rsidRPr="0025020B" w:rsidRDefault="00807428" w:rsidP="00363DD6">
            <w:pPr>
              <w:jc w:val="center"/>
              <w:rPr>
                <w:sz w:val="21"/>
                <w:szCs w:val="21"/>
              </w:rPr>
            </w:pPr>
            <w:r w:rsidRPr="0025020B">
              <w:rPr>
                <w:sz w:val="21"/>
                <w:szCs w:val="21"/>
              </w:rPr>
              <w:t>-0.001</w:t>
            </w:r>
            <w:r w:rsidRPr="0025020B">
              <w:rPr>
                <w:color w:val="000000"/>
                <w:sz w:val="21"/>
                <w:szCs w:val="21"/>
                <w:vertAlign w:val="superscript"/>
              </w:rPr>
              <w:t>***</w:t>
            </w:r>
          </w:p>
        </w:tc>
      </w:tr>
      <w:tr w:rsidR="00807428" w:rsidRPr="0025020B" w14:paraId="4A6F75E9" w14:textId="77777777" w:rsidTr="001B1DE8">
        <w:trPr>
          <w:trHeight w:val="20"/>
        </w:trPr>
        <w:tc>
          <w:tcPr>
            <w:tcW w:w="3380" w:type="dxa"/>
            <w:tcBorders>
              <w:top w:val="nil"/>
              <w:left w:val="nil"/>
              <w:bottom w:val="nil"/>
              <w:right w:val="nil"/>
            </w:tcBorders>
            <w:shd w:val="clear" w:color="000000" w:fill="FFFFFF"/>
            <w:vAlign w:val="center"/>
            <w:hideMark/>
          </w:tcPr>
          <w:p w14:paraId="4C86C011"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88322F1"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9E05E6E" w14:textId="77777777" w:rsidR="00807428" w:rsidRPr="0025020B" w:rsidRDefault="00807428" w:rsidP="00363DD6">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7F93647E" w14:textId="77777777" w:rsidR="00807428" w:rsidRPr="0025020B" w:rsidRDefault="00807428" w:rsidP="00363DD6">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5483415D" w14:textId="77777777" w:rsidR="00807428" w:rsidRPr="0025020B" w:rsidRDefault="00807428" w:rsidP="00363DD6">
            <w:pPr>
              <w:jc w:val="center"/>
              <w:rPr>
                <w:sz w:val="21"/>
                <w:szCs w:val="21"/>
              </w:rPr>
            </w:pPr>
            <w:r w:rsidRPr="0025020B">
              <w:rPr>
                <w:sz w:val="21"/>
                <w:szCs w:val="21"/>
              </w:rPr>
              <w:t>(0.00)</w:t>
            </w:r>
          </w:p>
        </w:tc>
      </w:tr>
      <w:tr w:rsidR="00807428" w:rsidRPr="0025020B" w14:paraId="59BF2D61" w14:textId="77777777" w:rsidTr="001B1DE8">
        <w:trPr>
          <w:trHeight w:val="20"/>
        </w:trPr>
        <w:tc>
          <w:tcPr>
            <w:tcW w:w="3380" w:type="dxa"/>
            <w:tcBorders>
              <w:top w:val="nil"/>
              <w:left w:val="nil"/>
              <w:bottom w:val="nil"/>
              <w:right w:val="nil"/>
            </w:tcBorders>
            <w:shd w:val="clear" w:color="000000" w:fill="FFFFFF"/>
            <w:vAlign w:val="center"/>
            <w:hideMark/>
          </w:tcPr>
          <w:p w14:paraId="310B3F6A" w14:textId="77777777" w:rsidR="00807428" w:rsidRPr="0025020B" w:rsidRDefault="00807428" w:rsidP="00363DD6">
            <w:pPr>
              <w:rPr>
                <w:color w:val="000000"/>
                <w:sz w:val="21"/>
                <w:szCs w:val="21"/>
              </w:rPr>
            </w:pPr>
            <w:r w:rsidRPr="0025020B">
              <w:rPr>
                <w:color w:val="000000"/>
                <w:sz w:val="21"/>
                <w:szCs w:val="21"/>
              </w:rPr>
              <w:t>Loan amount (1</w:t>
            </w:r>
            <w:r>
              <w:rPr>
                <w:color w:val="000000"/>
                <w:sz w:val="21"/>
                <w:szCs w:val="21"/>
              </w:rPr>
              <w:t>0</w:t>
            </w:r>
            <w:r w:rsidRPr="0025020B">
              <w:rPr>
                <w:color w:val="000000"/>
                <w:sz w:val="21"/>
                <w:szCs w:val="21"/>
              </w:rPr>
              <w:t>,000s)</w:t>
            </w:r>
          </w:p>
        </w:tc>
        <w:tc>
          <w:tcPr>
            <w:tcW w:w="1427" w:type="dxa"/>
            <w:tcBorders>
              <w:top w:val="nil"/>
              <w:left w:val="nil"/>
              <w:bottom w:val="nil"/>
              <w:right w:val="nil"/>
            </w:tcBorders>
            <w:shd w:val="clear" w:color="000000" w:fill="FFFFFF"/>
            <w:vAlign w:val="center"/>
            <w:hideMark/>
          </w:tcPr>
          <w:p w14:paraId="178CA232"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9372618" w14:textId="77777777" w:rsidR="00807428" w:rsidRPr="0025020B" w:rsidRDefault="00807428" w:rsidP="00363DD6">
            <w:pPr>
              <w:jc w:val="center"/>
              <w:rPr>
                <w:sz w:val="21"/>
                <w:szCs w:val="21"/>
              </w:rPr>
            </w:pPr>
            <w:r w:rsidRPr="0025020B">
              <w:rPr>
                <w:sz w:val="21"/>
                <w:szCs w:val="21"/>
              </w:rPr>
              <w:t>-0.0</w:t>
            </w:r>
            <w:r>
              <w:rPr>
                <w:sz w:val="21"/>
                <w:szCs w:val="21"/>
              </w:rPr>
              <w:t>08</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23BD169A" w14:textId="77777777" w:rsidR="00807428" w:rsidRPr="0025020B" w:rsidRDefault="00807428" w:rsidP="00363DD6">
            <w:pPr>
              <w:jc w:val="center"/>
              <w:rPr>
                <w:sz w:val="21"/>
                <w:szCs w:val="21"/>
              </w:rPr>
            </w:pPr>
            <w:r w:rsidRPr="0025020B">
              <w:rPr>
                <w:sz w:val="21"/>
                <w:szCs w:val="21"/>
              </w:rPr>
              <w:t>-0.0</w:t>
            </w:r>
            <w:r>
              <w:rPr>
                <w:sz w:val="21"/>
                <w:szCs w:val="21"/>
              </w:rPr>
              <w:t>09</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2818C80C" w14:textId="77777777" w:rsidR="00807428" w:rsidRPr="0025020B" w:rsidRDefault="00807428" w:rsidP="00363DD6">
            <w:pPr>
              <w:jc w:val="center"/>
              <w:rPr>
                <w:sz w:val="21"/>
                <w:szCs w:val="21"/>
              </w:rPr>
            </w:pPr>
            <w:r w:rsidRPr="0025020B">
              <w:rPr>
                <w:sz w:val="21"/>
                <w:szCs w:val="21"/>
              </w:rPr>
              <w:t>-0.0</w:t>
            </w:r>
            <w:r>
              <w:rPr>
                <w:sz w:val="21"/>
                <w:szCs w:val="21"/>
              </w:rPr>
              <w:t>09</w:t>
            </w:r>
            <w:r w:rsidRPr="0025020B">
              <w:rPr>
                <w:color w:val="000000"/>
                <w:sz w:val="21"/>
                <w:szCs w:val="21"/>
                <w:vertAlign w:val="superscript"/>
              </w:rPr>
              <w:t>***</w:t>
            </w:r>
          </w:p>
        </w:tc>
      </w:tr>
      <w:tr w:rsidR="00807428" w:rsidRPr="0025020B" w14:paraId="0E095794" w14:textId="77777777" w:rsidTr="001B1DE8">
        <w:trPr>
          <w:trHeight w:val="20"/>
        </w:trPr>
        <w:tc>
          <w:tcPr>
            <w:tcW w:w="3380" w:type="dxa"/>
            <w:tcBorders>
              <w:top w:val="nil"/>
              <w:left w:val="nil"/>
              <w:bottom w:val="nil"/>
              <w:right w:val="nil"/>
            </w:tcBorders>
            <w:shd w:val="clear" w:color="000000" w:fill="FFFFFF"/>
            <w:vAlign w:val="center"/>
            <w:hideMark/>
          </w:tcPr>
          <w:p w14:paraId="163CC4D9"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4586DCF"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F7961C9" w14:textId="77777777" w:rsidR="00807428" w:rsidRPr="0025020B" w:rsidRDefault="00807428" w:rsidP="00363DD6">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2EA92FB7" w14:textId="77777777" w:rsidR="00807428" w:rsidRPr="0025020B" w:rsidRDefault="00807428" w:rsidP="00363DD6">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2B985533" w14:textId="77777777" w:rsidR="00807428" w:rsidRPr="0025020B" w:rsidRDefault="00807428" w:rsidP="00363DD6">
            <w:pPr>
              <w:jc w:val="center"/>
              <w:rPr>
                <w:sz w:val="21"/>
                <w:szCs w:val="21"/>
              </w:rPr>
            </w:pPr>
            <w:r w:rsidRPr="0025020B">
              <w:rPr>
                <w:sz w:val="21"/>
                <w:szCs w:val="21"/>
              </w:rPr>
              <w:t>(0.00)</w:t>
            </w:r>
          </w:p>
        </w:tc>
      </w:tr>
      <w:tr w:rsidR="00807428" w:rsidRPr="0025020B" w14:paraId="1BA1A85D" w14:textId="77777777" w:rsidTr="001B1DE8">
        <w:trPr>
          <w:trHeight w:val="20"/>
        </w:trPr>
        <w:tc>
          <w:tcPr>
            <w:tcW w:w="3380" w:type="dxa"/>
            <w:tcBorders>
              <w:top w:val="nil"/>
              <w:left w:val="nil"/>
              <w:bottom w:val="nil"/>
              <w:right w:val="nil"/>
            </w:tcBorders>
            <w:shd w:val="clear" w:color="000000" w:fill="FFFFFF"/>
            <w:vAlign w:val="center"/>
            <w:hideMark/>
          </w:tcPr>
          <w:p w14:paraId="17717846" w14:textId="77777777" w:rsidR="00807428" w:rsidRPr="0025020B" w:rsidRDefault="00807428" w:rsidP="00363DD6">
            <w:pPr>
              <w:rPr>
                <w:color w:val="000000"/>
                <w:sz w:val="21"/>
                <w:szCs w:val="21"/>
              </w:rPr>
            </w:pPr>
            <w:r w:rsidRPr="0025020B">
              <w:rPr>
                <w:color w:val="000000"/>
                <w:sz w:val="21"/>
                <w:szCs w:val="21"/>
              </w:rPr>
              <w:t>Female</w:t>
            </w:r>
          </w:p>
        </w:tc>
        <w:tc>
          <w:tcPr>
            <w:tcW w:w="1427" w:type="dxa"/>
            <w:tcBorders>
              <w:top w:val="nil"/>
              <w:left w:val="nil"/>
              <w:bottom w:val="nil"/>
              <w:right w:val="nil"/>
            </w:tcBorders>
            <w:shd w:val="clear" w:color="000000" w:fill="FFFFFF"/>
            <w:vAlign w:val="center"/>
            <w:hideMark/>
          </w:tcPr>
          <w:p w14:paraId="771FCF0C"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A56F35A" w14:textId="77777777" w:rsidR="00807428" w:rsidRPr="0025020B" w:rsidRDefault="00807428" w:rsidP="00363DD6">
            <w:pPr>
              <w:jc w:val="center"/>
              <w:rPr>
                <w:sz w:val="21"/>
                <w:szCs w:val="21"/>
              </w:rPr>
            </w:pPr>
            <w:r w:rsidRPr="0025020B">
              <w:rPr>
                <w:sz w:val="21"/>
                <w:szCs w:val="21"/>
              </w:rPr>
              <w:t>0.227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14C27E11" w14:textId="77777777" w:rsidR="00807428" w:rsidRPr="0025020B" w:rsidRDefault="00807428" w:rsidP="00363DD6">
            <w:pPr>
              <w:jc w:val="center"/>
              <w:rPr>
                <w:sz w:val="21"/>
                <w:szCs w:val="21"/>
              </w:rPr>
            </w:pPr>
            <w:r w:rsidRPr="0025020B">
              <w:rPr>
                <w:sz w:val="21"/>
                <w:szCs w:val="21"/>
              </w:rPr>
              <w:t>0.170</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046B18C3" w14:textId="77777777" w:rsidR="00807428" w:rsidRPr="0025020B" w:rsidRDefault="00807428" w:rsidP="00363DD6">
            <w:pPr>
              <w:jc w:val="center"/>
              <w:rPr>
                <w:sz w:val="21"/>
                <w:szCs w:val="21"/>
              </w:rPr>
            </w:pPr>
            <w:r w:rsidRPr="0025020B">
              <w:rPr>
                <w:sz w:val="21"/>
                <w:szCs w:val="21"/>
              </w:rPr>
              <w:t>0.139</w:t>
            </w:r>
            <w:r w:rsidRPr="0025020B">
              <w:rPr>
                <w:color w:val="000000"/>
                <w:sz w:val="21"/>
                <w:szCs w:val="21"/>
                <w:vertAlign w:val="superscript"/>
              </w:rPr>
              <w:t>***</w:t>
            </w:r>
          </w:p>
        </w:tc>
      </w:tr>
      <w:tr w:rsidR="00807428" w:rsidRPr="0025020B" w14:paraId="14936C80" w14:textId="77777777" w:rsidTr="001B1DE8">
        <w:trPr>
          <w:trHeight w:val="20"/>
        </w:trPr>
        <w:tc>
          <w:tcPr>
            <w:tcW w:w="3380" w:type="dxa"/>
            <w:tcBorders>
              <w:top w:val="nil"/>
              <w:left w:val="nil"/>
              <w:bottom w:val="nil"/>
              <w:right w:val="nil"/>
            </w:tcBorders>
            <w:shd w:val="clear" w:color="000000" w:fill="FFFFFF"/>
            <w:vAlign w:val="center"/>
            <w:hideMark/>
          </w:tcPr>
          <w:p w14:paraId="23C4C21E"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E57B391"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590A422" w14:textId="77777777" w:rsidR="00807428" w:rsidRPr="0025020B" w:rsidRDefault="00807428" w:rsidP="00363DD6">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68F579C0" w14:textId="77777777" w:rsidR="00807428" w:rsidRPr="0025020B" w:rsidRDefault="00807428" w:rsidP="00363DD6">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2C4CACF1" w14:textId="77777777" w:rsidR="00807428" w:rsidRPr="0025020B" w:rsidRDefault="00807428" w:rsidP="00363DD6">
            <w:pPr>
              <w:jc w:val="center"/>
              <w:rPr>
                <w:sz w:val="21"/>
                <w:szCs w:val="21"/>
              </w:rPr>
            </w:pPr>
            <w:r w:rsidRPr="0025020B">
              <w:rPr>
                <w:sz w:val="21"/>
                <w:szCs w:val="21"/>
              </w:rPr>
              <w:t>(0.01)</w:t>
            </w:r>
          </w:p>
        </w:tc>
      </w:tr>
      <w:tr w:rsidR="00807428" w:rsidRPr="0025020B" w14:paraId="66C5CF00" w14:textId="77777777" w:rsidTr="001B1DE8">
        <w:trPr>
          <w:trHeight w:val="20"/>
        </w:trPr>
        <w:tc>
          <w:tcPr>
            <w:tcW w:w="3380" w:type="dxa"/>
            <w:tcBorders>
              <w:top w:val="nil"/>
              <w:left w:val="nil"/>
              <w:bottom w:val="nil"/>
              <w:right w:val="nil"/>
            </w:tcBorders>
            <w:shd w:val="clear" w:color="000000" w:fill="FFFFFF"/>
            <w:vAlign w:val="center"/>
            <w:hideMark/>
          </w:tcPr>
          <w:p w14:paraId="76B620E5" w14:textId="77777777" w:rsidR="00807428" w:rsidRPr="0025020B" w:rsidRDefault="00807428" w:rsidP="00363DD6">
            <w:pPr>
              <w:rPr>
                <w:color w:val="000000"/>
                <w:sz w:val="21"/>
                <w:szCs w:val="21"/>
              </w:rPr>
            </w:pPr>
            <w:r w:rsidRPr="0025020B">
              <w:rPr>
                <w:color w:val="000000"/>
                <w:sz w:val="21"/>
                <w:szCs w:val="21"/>
              </w:rPr>
              <w:t>DTI</w:t>
            </w:r>
          </w:p>
        </w:tc>
        <w:tc>
          <w:tcPr>
            <w:tcW w:w="1427" w:type="dxa"/>
            <w:tcBorders>
              <w:top w:val="nil"/>
              <w:left w:val="nil"/>
              <w:bottom w:val="nil"/>
              <w:right w:val="nil"/>
            </w:tcBorders>
            <w:shd w:val="clear" w:color="000000" w:fill="FFFFFF"/>
            <w:vAlign w:val="center"/>
            <w:hideMark/>
          </w:tcPr>
          <w:p w14:paraId="4418EC73"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B33C9FA" w14:textId="77777777" w:rsidR="00807428" w:rsidRPr="0025020B" w:rsidRDefault="00807428" w:rsidP="00363DD6">
            <w:pPr>
              <w:jc w:val="center"/>
              <w:rPr>
                <w:sz w:val="21"/>
                <w:szCs w:val="21"/>
              </w:rPr>
            </w:pPr>
            <w:r w:rsidRPr="0025020B">
              <w:rPr>
                <w:sz w:val="21"/>
                <w:szCs w:val="21"/>
              </w:rPr>
              <w:t>0.007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5CD83943" w14:textId="77777777" w:rsidR="00807428" w:rsidRPr="0025020B" w:rsidRDefault="00807428" w:rsidP="00363DD6">
            <w:pPr>
              <w:jc w:val="center"/>
              <w:rPr>
                <w:sz w:val="21"/>
                <w:szCs w:val="21"/>
              </w:rPr>
            </w:pPr>
            <w:r w:rsidRPr="0025020B">
              <w:rPr>
                <w:sz w:val="21"/>
                <w:szCs w:val="21"/>
              </w:rPr>
              <w:t>0.008</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E199714" w14:textId="77777777" w:rsidR="00807428" w:rsidRPr="0025020B" w:rsidRDefault="00807428" w:rsidP="00363DD6">
            <w:pPr>
              <w:jc w:val="center"/>
              <w:rPr>
                <w:sz w:val="21"/>
                <w:szCs w:val="21"/>
              </w:rPr>
            </w:pPr>
            <w:r w:rsidRPr="0025020B">
              <w:rPr>
                <w:sz w:val="21"/>
                <w:szCs w:val="21"/>
              </w:rPr>
              <w:t>0.004</w:t>
            </w:r>
            <w:r w:rsidRPr="0025020B">
              <w:rPr>
                <w:color w:val="000000"/>
                <w:sz w:val="21"/>
                <w:szCs w:val="21"/>
                <w:vertAlign w:val="superscript"/>
              </w:rPr>
              <w:t>***</w:t>
            </w:r>
          </w:p>
        </w:tc>
      </w:tr>
      <w:tr w:rsidR="00807428" w:rsidRPr="0025020B" w14:paraId="18648C39" w14:textId="77777777" w:rsidTr="001B1DE8">
        <w:trPr>
          <w:trHeight w:val="20"/>
        </w:trPr>
        <w:tc>
          <w:tcPr>
            <w:tcW w:w="3380" w:type="dxa"/>
            <w:tcBorders>
              <w:top w:val="nil"/>
              <w:left w:val="nil"/>
              <w:bottom w:val="nil"/>
              <w:right w:val="nil"/>
            </w:tcBorders>
            <w:shd w:val="clear" w:color="000000" w:fill="FFFFFF"/>
            <w:vAlign w:val="center"/>
            <w:hideMark/>
          </w:tcPr>
          <w:p w14:paraId="4DA33334"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8F02391"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F9124B3" w14:textId="77777777" w:rsidR="00807428" w:rsidRPr="0025020B" w:rsidRDefault="00807428" w:rsidP="00363DD6">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7E39DB9D" w14:textId="77777777" w:rsidR="00807428" w:rsidRPr="0025020B" w:rsidRDefault="00807428" w:rsidP="00363DD6">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0CAB0828" w14:textId="77777777" w:rsidR="00807428" w:rsidRPr="0025020B" w:rsidRDefault="00807428" w:rsidP="00363DD6">
            <w:pPr>
              <w:jc w:val="center"/>
              <w:rPr>
                <w:sz w:val="21"/>
                <w:szCs w:val="21"/>
              </w:rPr>
            </w:pPr>
            <w:r w:rsidRPr="0025020B">
              <w:rPr>
                <w:sz w:val="21"/>
                <w:szCs w:val="21"/>
              </w:rPr>
              <w:t>(0.00)</w:t>
            </w:r>
          </w:p>
        </w:tc>
      </w:tr>
      <w:tr w:rsidR="00807428" w:rsidRPr="0025020B" w14:paraId="6EE79605" w14:textId="77777777" w:rsidTr="001B1DE8">
        <w:trPr>
          <w:trHeight w:val="20"/>
        </w:trPr>
        <w:tc>
          <w:tcPr>
            <w:tcW w:w="3380" w:type="dxa"/>
            <w:tcBorders>
              <w:top w:val="nil"/>
              <w:left w:val="nil"/>
              <w:bottom w:val="nil"/>
              <w:right w:val="nil"/>
            </w:tcBorders>
            <w:shd w:val="clear" w:color="000000" w:fill="FFFFFF"/>
            <w:vAlign w:val="center"/>
            <w:hideMark/>
          </w:tcPr>
          <w:p w14:paraId="64642831" w14:textId="77777777" w:rsidR="00807428" w:rsidRPr="0025020B" w:rsidRDefault="00807428" w:rsidP="00363DD6">
            <w:pPr>
              <w:rPr>
                <w:color w:val="000000"/>
                <w:sz w:val="21"/>
                <w:szCs w:val="21"/>
              </w:rPr>
            </w:pPr>
            <w:r w:rsidRPr="0025020B">
              <w:rPr>
                <w:color w:val="000000"/>
                <w:sz w:val="21"/>
                <w:szCs w:val="21"/>
              </w:rPr>
              <w:t>LTV</w:t>
            </w:r>
          </w:p>
        </w:tc>
        <w:tc>
          <w:tcPr>
            <w:tcW w:w="1427" w:type="dxa"/>
            <w:tcBorders>
              <w:top w:val="nil"/>
              <w:left w:val="nil"/>
              <w:bottom w:val="nil"/>
              <w:right w:val="nil"/>
            </w:tcBorders>
            <w:shd w:val="clear" w:color="000000" w:fill="FFFFFF"/>
            <w:vAlign w:val="center"/>
            <w:hideMark/>
          </w:tcPr>
          <w:p w14:paraId="7166D68F"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1422855" w14:textId="77777777" w:rsidR="00807428" w:rsidRPr="0025020B" w:rsidRDefault="00807428" w:rsidP="00363DD6">
            <w:pPr>
              <w:jc w:val="center"/>
              <w:rPr>
                <w:sz w:val="21"/>
                <w:szCs w:val="21"/>
              </w:rPr>
            </w:pPr>
            <w:r w:rsidRPr="0025020B">
              <w:rPr>
                <w:sz w:val="21"/>
                <w:szCs w:val="21"/>
              </w:rPr>
              <w:t>0.012</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2120C70" w14:textId="77777777" w:rsidR="00807428" w:rsidRPr="0025020B" w:rsidRDefault="00807428" w:rsidP="00363DD6">
            <w:pPr>
              <w:jc w:val="center"/>
              <w:rPr>
                <w:sz w:val="21"/>
                <w:szCs w:val="21"/>
              </w:rPr>
            </w:pPr>
            <w:r w:rsidRPr="0025020B">
              <w:rPr>
                <w:sz w:val="21"/>
                <w:szCs w:val="21"/>
              </w:rPr>
              <w:t>0.012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973EA11" w14:textId="77777777" w:rsidR="00807428" w:rsidRPr="0025020B" w:rsidRDefault="00807428" w:rsidP="00363DD6">
            <w:pPr>
              <w:jc w:val="center"/>
              <w:rPr>
                <w:sz w:val="21"/>
                <w:szCs w:val="21"/>
              </w:rPr>
            </w:pPr>
            <w:r w:rsidRPr="0025020B">
              <w:rPr>
                <w:sz w:val="21"/>
                <w:szCs w:val="21"/>
              </w:rPr>
              <w:t>0.009</w:t>
            </w:r>
            <w:r w:rsidRPr="0025020B">
              <w:rPr>
                <w:color w:val="000000"/>
                <w:sz w:val="21"/>
                <w:szCs w:val="21"/>
                <w:vertAlign w:val="superscript"/>
              </w:rPr>
              <w:t>***</w:t>
            </w:r>
          </w:p>
        </w:tc>
      </w:tr>
      <w:tr w:rsidR="00807428" w:rsidRPr="0025020B" w14:paraId="41CF69E6" w14:textId="77777777" w:rsidTr="001B1DE8">
        <w:trPr>
          <w:trHeight w:val="20"/>
        </w:trPr>
        <w:tc>
          <w:tcPr>
            <w:tcW w:w="3380" w:type="dxa"/>
            <w:tcBorders>
              <w:top w:val="nil"/>
              <w:left w:val="nil"/>
              <w:bottom w:val="nil"/>
              <w:right w:val="nil"/>
            </w:tcBorders>
            <w:shd w:val="clear" w:color="000000" w:fill="FFFFFF"/>
            <w:vAlign w:val="center"/>
            <w:hideMark/>
          </w:tcPr>
          <w:p w14:paraId="457323CB"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D3104D3"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C9309F1" w14:textId="77777777" w:rsidR="00807428" w:rsidRPr="0025020B" w:rsidRDefault="00807428" w:rsidP="00363DD6">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7FF11C9E" w14:textId="77777777" w:rsidR="00807428" w:rsidRPr="0025020B" w:rsidRDefault="00807428" w:rsidP="00363DD6">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5FE3D0D5" w14:textId="77777777" w:rsidR="00807428" w:rsidRPr="0025020B" w:rsidRDefault="00807428" w:rsidP="00363DD6">
            <w:pPr>
              <w:jc w:val="center"/>
              <w:rPr>
                <w:sz w:val="21"/>
                <w:szCs w:val="21"/>
              </w:rPr>
            </w:pPr>
            <w:r w:rsidRPr="0025020B">
              <w:rPr>
                <w:sz w:val="21"/>
                <w:szCs w:val="21"/>
              </w:rPr>
              <w:t>(0.00)</w:t>
            </w:r>
          </w:p>
        </w:tc>
      </w:tr>
      <w:tr w:rsidR="00807428" w:rsidRPr="0025020B" w14:paraId="26C7057F" w14:textId="77777777" w:rsidTr="001B1DE8">
        <w:trPr>
          <w:trHeight w:val="20"/>
        </w:trPr>
        <w:tc>
          <w:tcPr>
            <w:tcW w:w="3380" w:type="dxa"/>
            <w:tcBorders>
              <w:top w:val="nil"/>
              <w:left w:val="nil"/>
              <w:bottom w:val="nil"/>
              <w:right w:val="nil"/>
            </w:tcBorders>
            <w:shd w:val="clear" w:color="000000" w:fill="FFFFFF"/>
            <w:vAlign w:val="center"/>
            <w:hideMark/>
          </w:tcPr>
          <w:p w14:paraId="4D1E7352" w14:textId="77777777" w:rsidR="00807428" w:rsidRPr="0025020B" w:rsidRDefault="00807428" w:rsidP="00363DD6">
            <w:pPr>
              <w:rPr>
                <w:color w:val="000000"/>
                <w:sz w:val="21"/>
                <w:szCs w:val="21"/>
              </w:rPr>
            </w:pPr>
            <w:r w:rsidRPr="0025020B">
              <w:rPr>
                <w:color w:val="000000"/>
                <w:sz w:val="21"/>
                <w:szCs w:val="21"/>
              </w:rPr>
              <w:t>Origination charges (1,000s)</w:t>
            </w:r>
          </w:p>
        </w:tc>
        <w:tc>
          <w:tcPr>
            <w:tcW w:w="1427" w:type="dxa"/>
            <w:tcBorders>
              <w:top w:val="nil"/>
              <w:left w:val="nil"/>
              <w:bottom w:val="nil"/>
              <w:right w:val="nil"/>
            </w:tcBorders>
            <w:shd w:val="clear" w:color="000000" w:fill="FFFFFF"/>
            <w:vAlign w:val="center"/>
            <w:hideMark/>
          </w:tcPr>
          <w:p w14:paraId="243AF7AB"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53C1DA9" w14:textId="77777777" w:rsidR="00807428" w:rsidRPr="0025020B" w:rsidRDefault="00807428" w:rsidP="00363DD6">
            <w:pPr>
              <w:jc w:val="center"/>
              <w:rPr>
                <w:sz w:val="21"/>
                <w:szCs w:val="21"/>
              </w:rPr>
            </w:pPr>
            <w:r w:rsidRPr="0025020B">
              <w:rPr>
                <w:sz w:val="21"/>
                <w:szCs w:val="21"/>
              </w:rPr>
              <w:t>0.068</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6E4A9B42" w14:textId="77777777" w:rsidR="00807428" w:rsidRPr="0025020B" w:rsidRDefault="00807428" w:rsidP="00363DD6">
            <w:pPr>
              <w:jc w:val="center"/>
              <w:rPr>
                <w:sz w:val="21"/>
                <w:szCs w:val="21"/>
              </w:rPr>
            </w:pPr>
            <w:r w:rsidRPr="0025020B">
              <w:rPr>
                <w:sz w:val="21"/>
                <w:szCs w:val="21"/>
              </w:rPr>
              <w:t>0.072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3F331C07" w14:textId="77777777" w:rsidR="00807428" w:rsidRPr="0025020B" w:rsidRDefault="00807428" w:rsidP="00363DD6">
            <w:pPr>
              <w:jc w:val="center"/>
              <w:rPr>
                <w:sz w:val="21"/>
                <w:szCs w:val="21"/>
              </w:rPr>
            </w:pPr>
            <w:r w:rsidRPr="0025020B">
              <w:rPr>
                <w:sz w:val="21"/>
                <w:szCs w:val="21"/>
              </w:rPr>
              <w:t>0.068</w:t>
            </w:r>
            <w:r w:rsidRPr="0025020B">
              <w:rPr>
                <w:color w:val="000000"/>
                <w:sz w:val="21"/>
                <w:szCs w:val="21"/>
                <w:vertAlign w:val="superscript"/>
              </w:rPr>
              <w:t>***</w:t>
            </w:r>
          </w:p>
        </w:tc>
      </w:tr>
      <w:tr w:rsidR="00807428" w:rsidRPr="0025020B" w14:paraId="272C5940" w14:textId="77777777" w:rsidTr="001B1DE8">
        <w:trPr>
          <w:trHeight w:val="20"/>
        </w:trPr>
        <w:tc>
          <w:tcPr>
            <w:tcW w:w="3380" w:type="dxa"/>
            <w:tcBorders>
              <w:top w:val="nil"/>
              <w:left w:val="nil"/>
              <w:bottom w:val="nil"/>
              <w:right w:val="nil"/>
            </w:tcBorders>
            <w:shd w:val="clear" w:color="000000" w:fill="FFFFFF"/>
            <w:vAlign w:val="center"/>
            <w:hideMark/>
          </w:tcPr>
          <w:p w14:paraId="3C2AA185"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A8330A0"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5ED44A4" w14:textId="77777777" w:rsidR="00807428" w:rsidRPr="0025020B" w:rsidRDefault="00807428" w:rsidP="00363DD6">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1A6F0B3E" w14:textId="77777777" w:rsidR="00807428" w:rsidRPr="0025020B" w:rsidRDefault="00807428" w:rsidP="00363DD6">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310EFDD3" w14:textId="77777777" w:rsidR="00807428" w:rsidRPr="0025020B" w:rsidRDefault="00807428" w:rsidP="00363DD6">
            <w:pPr>
              <w:jc w:val="center"/>
              <w:rPr>
                <w:sz w:val="21"/>
                <w:szCs w:val="21"/>
              </w:rPr>
            </w:pPr>
            <w:r w:rsidRPr="0025020B">
              <w:rPr>
                <w:sz w:val="21"/>
                <w:szCs w:val="21"/>
              </w:rPr>
              <w:t>(0.00)</w:t>
            </w:r>
          </w:p>
        </w:tc>
      </w:tr>
      <w:tr w:rsidR="00807428" w:rsidRPr="0025020B" w14:paraId="3D36ACC3" w14:textId="77777777" w:rsidTr="001B1DE8">
        <w:trPr>
          <w:trHeight w:val="20"/>
        </w:trPr>
        <w:tc>
          <w:tcPr>
            <w:tcW w:w="3380" w:type="dxa"/>
            <w:tcBorders>
              <w:top w:val="nil"/>
              <w:left w:val="nil"/>
              <w:bottom w:val="nil"/>
              <w:right w:val="nil"/>
            </w:tcBorders>
            <w:shd w:val="clear" w:color="000000" w:fill="FFFFFF"/>
            <w:vAlign w:val="center"/>
            <w:hideMark/>
          </w:tcPr>
          <w:p w14:paraId="6B68BEAB" w14:textId="77777777" w:rsidR="00807428" w:rsidRPr="0025020B" w:rsidRDefault="00807428" w:rsidP="00363DD6">
            <w:pPr>
              <w:rPr>
                <w:color w:val="000000"/>
                <w:sz w:val="21"/>
                <w:szCs w:val="21"/>
              </w:rPr>
            </w:pPr>
            <w:r w:rsidRPr="0025020B">
              <w:rPr>
                <w:color w:val="000000"/>
                <w:sz w:val="21"/>
                <w:szCs w:val="21"/>
              </w:rPr>
              <w:t>Discount points (1,000s)</w:t>
            </w:r>
          </w:p>
        </w:tc>
        <w:tc>
          <w:tcPr>
            <w:tcW w:w="1427" w:type="dxa"/>
            <w:tcBorders>
              <w:top w:val="nil"/>
              <w:left w:val="nil"/>
              <w:bottom w:val="nil"/>
              <w:right w:val="nil"/>
            </w:tcBorders>
            <w:shd w:val="clear" w:color="000000" w:fill="FFFFFF"/>
            <w:vAlign w:val="center"/>
            <w:hideMark/>
          </w:tcPr>
          <w:p w14:paraId="2C679ED5"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E451CD6" w14:textId="77777777" w:rsidR="00807428" w:rsidRPr="0025020B" w:rsidRDefault="00807428" w:rsidP="00363DD6">
            <w:pPr>
              <w:jc w:val="center"/>
              <w:rPr>
                <w:sz w:val="21"/>
                <w:szCs w:val="21"/>
              </w:rPr>
            </w:pPr>
            <w:r w:rsidRPr="0025020B">
              <w:rPr>
                <w:sz w:val="21"/>
                <w:szCs w:val="21"/>
              </w:rPr>
              <w:t>-0.035</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5C6FEDD8" w14:textId="77777777" w:rsidR="00807428" w:rsidRPr="0025020B" w:rsidRDefault="00807428" w:rsidP="00363DD6">
            <w:pPr>
              <w:jc w:val="center"/>
              <w:rPr>
                <w:sz w:val="21"/>
                <w:szCs w:val="21"/>
              </w:rPr>
            </w:pPr>
            <w:r w:rsidRPr="0025020B">
              <w:rPr>
                <w:sz w:val="21"/>
                <w:szCs w:val="21"/>
              </w:rPr>
              <w:t>-0.037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D0468D6" w14:textId="77777777" w:rsidR="00807428" w:rsidRPr="0025020B" w:rsidRDefault="00807428" w:rsidP="00363DD6">
            <w:pPr>
              <w:jc w:val="center"/>
              <w:rPr>
                <w:sz w:val="21"/>
                <w:szCs w:val="21"/>
              </w:rPr>
            </w:pPr>
            <w:r w:rsidRPr="0025020B">
              <w:rPr>
                <w:sz w:val="21"/>
                <w:szCs w:val="21"/>
              </w:rPr>
              <w:t>-0.027</w:t>
            </w:r>
            <w:r w:rsidRPr="0025020B">
              <w:rPr>
                <w:color w:val="000000"/>
                <w:sz w:val="21"/>
                <w:szCs w:val="21"/>
                <w:vertAlign w:val="superscript"/>
              </w:rPr>
              <w:t>***</w:t>
            </w:r>
          </w:p>
        </w:tc>
      </w:tr>
      <w:tr w:rsidR="00807428" w:rsidRPr="0025020B" w14:paraId="54FB5E30" w14:textId="77777777" w:rsidTr="001B1DE8">
        <w:trPr>
          <w:trHeight w:val="20"/>
        </w:trPr>
        <w:tc>
          <w:tcPr>
            <w:tcW w:w="3380" w:type="dxa"/>
            <w:tcBorders>
              <w:top w:val="nil"/>
              <w:left w:val="nil"/>
              <w:bottom w:val="nil"/>
              <w:right w:val="nil"/>
            </w:tcBorders>
            <w:shd w:val="clear" w:color="000000" w:fill="FFFFFF"/>
            <w:vAlign w:val="center"/>
            <w:hideMark/>
          </w:tcPr>
          <w:p w14:paraId="758E9891"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A7FE9CF"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839A336" w14:textId="77777777" w:rsidR="00807428" w:rsidRPr="0025020B" w:rsidRDefault="00807428" w:rsidP="00363DD6">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76370F94" w14:textId="77777777" w:rsidR="00807428" w:rsidRPr="0025020B" w:rsidRDefault="00807428" w:rsidP="00363DD6">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395D8D1D" w14:textId="77777777" w:rsidR="00807428" w:rsidRPr="0025020B" w:rsidRDefault="00807428" w:rsidP="00363DD6">
            <w:pPr>
              <w:jc w:val="center"/>
              <w:rPr>
                <w:sz w:val="21"/>
                <w:szCs w:val="21"/>
              </w:rPr>
            </w:pPr>
            <w:r w:rsidRPr="0025020B">
              <w:rPr>
                <w:sz w:val="21"/>
                <w:szCs w:val="21"/>
              </w:rPr>
              <w:t>(0.00)</w:t>
            </w:r>
          </w:p>
        </w:tc>
      </w:tr>
      <w:tr w:rsidR="00807428" w:rsidRPr="0025020B" w14:paraId="6A3A696F" w14:textId="77777777" w:rsidTr="001B1DE8">
        <w:trPr>
          <w:trHeight w:val="20"/>
        </w:trPr>
        <w:tc>
          <w:tcPr>
            <w:tcW w:w="3380" w:type="dxa"/>
            <w:tcBorders>
              <w:top w:val="nil"/>
              <w:left w:val="nil"/>
              <w:bottom w:val="nil"/>
              <w:right w:val="nil"/>
            </w:tcBorders>
            <w:shd w:val="clear" w:color="000000" w:fill="FFFFFF"/>
            <w:vAlign w:val="center"/>
            <w:hideMark/>
          </w:tcPr>
          <w:p w14:paraId="4A592A4F" w14:textId="77777777" w:rsidR="00807428" w:rsidRPr="0025020B" w:rsidRDefault="00807428" w:rsidP="00363DD6">
            <w:pPr>
              <w:rPr>
                <w:color w:val="000000"/>
                <w:sz w:val="21"/>
                <w:szCs w:val="21"/>
              </w:rPr>
            </w:pPr>
            <w:r w:rsidRPr="0025020B">
              <w:rPr>
                <w:color w:val="000000"/>
                <w:sz w:val="21"/>
                <w:szCs w:val="21"/>
              </w:rPr>
              <w:t>Conventional loan</w:t>
            </w:r>
          </w:p>
        </w:tc>
        <w:tc>
          <w:tcPr>
            <w:tcW w:w="1427" w:type="dxa"/>
            <w:tcBorders>
              <w:top w:val="nil"/>
              <w:left w:val="nil"/>
              <w:bottom w:val="nil"/>
              <w:right w:val="nil"/>
            </w:tcBorders>
            <w:shd w:val="clear" w:color="000000" w:fill="FFFFFF"/>
            <w:vAlign w:val="center"/>
            <w:hideMark/>
          </w:tcPr>
          <w:p w14:paraId="59B8EE7E"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6A230CA" w14:textId="77777777" w:rsidR="00807428" w:rsidRPr="0025020B" w:rsidRDefault="00807428" w:rsidP="00363DD6">
            <w:pPr>
              <w:jc w:val="center"/>
              <w:rPr>
                <w:sz w:val="21"/>
                <w:szCs w:val="21"/>
              </w:rPr>
            </w:pPr>
            <w:r w:rsidRPr="0025020B">
              <w:rPr>
                <w:sz w:val="21"/>
                <w:szCs w:val="21"/>
              </w:rPr>
              <w:t>-0.211</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7368721" w14:textId="77777777" w:rsidR="00807428" w:rsidRPr="0025020B" w:rsidRDefault="00807428" w:rsidP="00363DD6">
            <w:pPr>
              <w:jc w:val="center"/>
              <w:rPr>
                <w:sz w:val="21"/>
                <w:szCs w:val="21"/>
              </w:rPr>
            </w:pPr>
            <w:r w:rsidRPr="0025020B">
              <w:rPr>
                <w:sz w:val="21"/>
                <w:szCs w:val="21"/>
              </w:rPr>
              <w:t>-0.127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1EADD59" w14:textId="77777777" w:rsidR="00807428" w:rsidRPr="0025020B" w:rsidRDefault="00807428" w:rsidP="00363DD6">
            <w:pPr>
              <w:jc w:val="center"/>
              <w:rPr>
                <w:sz w:val="21"/>
                <w:szCs w:val="21"/>
              </w:rPr>
            </w:pPr>
            <w:r w:rsidRPr="0025020B">
              <w:rPr>
                <w:sz w:val="21"/>
                <w:szCs w:val="21"/>
              </w:rPr>
              <w:t>-0.350</w:t>
            </w:r>
            <w:r w:rsidRPr="0025020B">
              <w:rPr>
                <w:color w:val="000000"/>
                <w:sz w:val="21"/>
                <w:szCs w:val="21"/>
                <w:vertAlign w:val="superscript"/>
              </w:rPr>
              <w:t>***</w:t>
            </w:r>
          </w:p>
        </w:tc>
      </w:tr>
      <w:tr w:rsidR="00807428" w:rsidRPr="0025020B" w14:paraId="1AD2FD1C" w14:textId="77777777" w:rsidTr="001B1DE8">
        <w:trPr>
          <w:trHeight w:val="20"/>
        </w:trPr>
        <w:tc>
          <w:tcPr>
            <w:tcW w:w="3380" w:type="dxa"/>
            <w:tcBorders>
              <w:top w:val="nil"/>
              <w:left w:val="nil"/>
              <w:bottom w:val="nil"/>
              <w:right w:val="nil"/>
            </w:tcBorders>
            <w:shd w:val="clear" w:color="000000" w:fill="FFFFFF"/>
            <w:vAlign w:val="center"/>
            <w:hideMark/>
          </w:tcPr>
          <w:p w14:paraId="5DEBB9D0"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7444F62"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2A62EE1" w14:textId="77777777" w:rsidR="00807428" w:rsidRPr="0025020B" w:rsidRDefault="00807428" w:rsidP="00363DD6">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4C614421" w14:textId="77777777" w:rsidR="00807428" w:rsidRPr="0025020B" w:rsidRDefault="00807428" w:rsidP="00363DD6">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4A7F9063" w14:textId="77777777" w:rsidR="00807428" w:rsidRPr="0025020B" w:rsidRDefault="00807428" w:rsidP="00363DD6">
            <w:pPr>
              <w:jc w:val="center"/>
              <w:rPr>
                <w:sz w:val="21"/>
                <w:szCs w:val="21"/>
              </w:rPr>
            </w:pPr>
            <w:r w:rsidRPr="0025020B">
              <w:rPr>
                <w:sz w:val="21"/>
                <w:szCs w:val="21"/>
              </w:rPr>
              <w:t>(0.01)</w:t>
            </w:r>
          </w:p>
        </w:tc>
      </w:tr>
      <w:tr w:rsidR="00807428" w:rsidRPr="0025020B" w14:paraId="79605DCD" w14:textId="77777777" w:rsidTr="001B1DE8">
        <w:trPr>
          <w:trHeight w:val="20"/>
        </w:trPr>
        <w:tc>
          <w:tcPr>
            <w:tcW w:w="3380" w:type="dxa"/>
            <w:tcBorders>
              <w:top w:val="nil"/>
              <w:left w:val="nil"/>
              <w:bottom w:val="nil"/>
              <w:right w:val="nil"/>
            </w:tcBorders>
            <w:shd w:val="clear" w:color="000000" w:fill="FFFFFF"/>
            <w:vAlign w:val="center"/>
            <w:hideMark/>
          </w:tcPr>
          <w:p w14:paraId="2B44D82A" w14:textId="77777777" w:rsidR="00807428" w:rsidRPr="0025020B" w:rsidRDefault="00807428" w:rsidP="00363DD6">
            <w:pPr>
              <w:rPr>
                <w:color w:val="000000"/>
                <w:sz w:val="21"/>
                <w:szCs w:val="21"/>
              </w:rPr>
            </w:pPr>
            <w:r w:rsidRPr="0025020B">
              <w:rPr>
                <w:color w:val="000000"/>
                <w:sz w:val="21"/>
                <w:szCs w:val="21"/>
              </w:rPr>
              <w:t>Loan term (months)</w:t>
            </w:r>
          </w:p>
        </w:tc>
        <w:tc>
          <w:tcPr>
            <w:tcW w:w="1427" w:type="dxa"/>
            <w:tcBorders>
              <w:top w:val="nil"/>
              <w:left w:val="nil"/>
              <w:bottom w:val="nil"/>
              <w:right w:val="nil"/>
            </w:tcBorders>
            <w:shd w:val="clear" w:color="000000" w:fill="FFFFFF"/>
            <w:vAlign w:val="center"/>
            <w:hideMark/>
          </w:tcPr>
          <w:p w14:paraId="0B25978E"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C33E353" w14:textId="77777777" w:rsidR="00807428" w:rsidRPr="0025020B" w:rsidRDefault="00807428" w:rsidP="00363DD6">
            <w:pPr>
              <w:jc w:val="center"/>
              <w:rPr>
                <w:sz w:val="21"/>
                <w:szCs w:val="21"/>
              </w:rPr>
            </w:pPr>
            <w:r w:rsidRPr="0025020B">
              <w:rPr>
                <w:sz w:val="21"/>
                <w:szCs w:val="21"/>
              </w:rPr>
              <w:t>-0.003</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2DA4BE98" w14:textId="77777777" w:rsidR="00807428" w:rsidRPr="0025020B" w:rsidRDefault="00807428" w:rsidP="00363DD6">
            <w:pPr>
              <w:jc w:val="center"/>
              <w:rPr>
                <w:sz w:val="21"/>
                <w:szCs w:val="21"/>
              </w:rPr>
            </w:pPr>
            <w:r w:rsidRPr="0025020B">
              <w:rPr>
                <w:sz w:val="21"/>
                <w:szCs w:val="21"/>
              </w:rPr>
              <w:t>-0.002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2430A616" w14:textId="77777777" w:rsidR="00807428" w:rsidRPr="0025020B" w:rsidRDefault="00807428" w:rsidP="00363DD6">
            <w:pPr>
              <w:jc w:val="center"/>
              <w:rPr>
                <w:sz w:val="21"/>
                <w:szCs w:val="21"/>
              </w:rPr>
            </w:pPr>
            <w:r w:rsidRPr="0025020B">
              <w:rPr>
                <w:sz w:val="21"/>
                <w:szCs w:val="21"/>
              </w:rPr>
              <w:t>-0.002</w:t>
            </w:r>
            <w:r w:rsidRPr="0025020B">
              <w:rPr>
                <w:color w:val="000000"/>
                <w:sz w:val="21"/>
                <w:szCs w:val="21"/>
                <w:vertAlign w:val="superscript"/>
              </w:rPr>
              <w:t>***</w:t>
            </w:r>
          </w:p>
        </w:tc>
      </w:tr>
      <w:tr w:rsidR="00807428" w:rsidRPr="0025020B" w14:paraId="5C4503E8" w14:textId="77777777" w:rsidTr="001B1DE8">
        <w:trPr>
          <w:trHeight w:val="20"/>
        </w:trPr>
        <w:tc>
          <w:tcPr>
            <w:tcW w:w="3380" w:type="dxa"/>
            <w:tcBorders>
              <w:top w:val="nil"/>
              <w:left w:val="nil"/>
              <w:bottom w:val="nil"/>
              <w:right w:val="nil"/>
            </w:tcBorders>
            <w:shd w:val="clear" w:color="000000" w:fill="FFFFFF"/>
            <w:vAlign w:val="center"/>
            <w:hideMark/>
          </w:tcPr>
          <w:p w14:paraId="00FB6A14"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8212442"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A78CB26" w14:textId="77777777" w:rsidR="00807428" w:rsidRPr="0025020B" w:rsidRDefault="00807428" w:rsidP="00363DD6">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47164792" w14:textId="77777777" w:rsidR="00807428" w:rsidRPr="0025020B" w:rsidRDefault="00807428" w:rsidP="00363DD6">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3CC492EB" w14:textId="77777777" w:rsidR="00807428" w:rsidRPr="0025020B" w:rsidRDefault="00807428" w:rsidP="00363DD6">
            <w:pPr>
              <w:jc w:val="center"/>
              <w:rPr>
                <w:sz w:val="21"/>
                <w:szCs w:val="21"/>
              </w:rPr>
            </w:pPr>
            <w:r w:rsidRPr="0025020B">
              <w:rPr>
                <w:sz w:val="21"/>
                <w:szCs w:val="21"/>
              </w:rPr>
              <w:t>(0.00)</w:t>
            </w:r>
          </w:p>
        </w:tc>
      </w:tr>
      <w:tr w:rsidR="00807428" w:rsidRPr="0025020B" w14:paraId="7987207B" w14:textId="77777777" w:rsidTr="001B1DE8">
        <w:trPr>
          <w:trHeight w:val="20"/>
        </w:trPr>
        <w:tc>
          <w:tcPr>
            <w:tcW w:w="3380" w:type="dxa"/>
            <w:tcBorders>
              <w:top w:val="nil"/>
              <w:left w:val="nil"/>
              <w:bottom w:val="nil"/>
              <w:right w:val="nil"/>
            </w:tcBorders>
            <w:shd w:val="clear" w:color="000000" w:fill="FFFFFF"/>
            <w:vAlign w:val="center"/>
            <w:hideMark/>
          </w:tcPr>
          <w:p w14:paraId="5EB3C082" w14:textId="77777777" w:rsidR="00807428" w:rsidRPr="0025020B" w:rsidRDefault="00807428" w:rsidP="00363DD6">
            <w:pPr>
              <w:rPr>
                <w:color w:val="000000"/>
                <w:sz w:val="21"/>
                <w:szCs w:val="21"/>
              </w:rPr>
            </w:pPr>
            <w:r w:rsidRPr="0025020B">
              <w:rPr>
                <w:color w:val="000000"/>
                <w:sz w:val="21"/>
                <w:szCs w:val="21"/>
              </w:rPr>
              <w:t>Manufactured</w:t>
            </w:r>
          </w:p>
        </w:tc>
        <w:tc>
          <w:tcPr>
            <w:tcW w:w="1427" w:type="dxa"/>
            <w:tcBorders>
              <w:top w:val="nil"/>
              <w:left w:val="nil"/>
              <w:bottom w:val="nil"/>
              <w:right w:val="nil"/>
            </w:tcBorders>
            <w:shd w:val="clear" w:color="000000" w:fill="FFFFFF"/>
            <w:vAlign w:val="center"/>
            <w:hideMark/>
          </w:tcPr>
          <w:p w14:paraId="30ED2447"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4958499" w14:textId="77777777" w:rsidR="00807428" w:rsidRPr="0025020B" w:rsidRDefault="00807428" w:rsidP="00363DD6">
            <w:pPr>
              <w:jc w:val="center"/>
              <w:rPr>
                <w:sz w:val="21"/>
                <w:szCs w:val="21"/>
              </w:rPr>
            </w:pPr>
            <w:r w:rsidRPr="0025020B">
              <w:rPr>
                <w:sz w:val="21"/>
                <w:szCs w:val="21"/>
              </w:rPr>
              <w:t>1.909</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470C9C07" w14:textId="77777777" w:rsidR="00807428" w:rsidRPr="0025020B" w:rsidRDefault="00807428" w:rsidP="00363DD6">
            <w:pPr>
              <w:jc w:val="center"/>
              <w:rPr>
                <w:sz w:val="21"/>
                <w:szCs w:val="21"/>
              </w:rPr>
            </w:pPr>
            <w:r w:rsidRPr="0025020B">
              <w:rPr>
                <w:sz w:val="21"/>
                <w:szCs w:val="21"/>
              </w:rPr>
              <w:t>1.696</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9CA8618" w14:textId="77777777" w:rsidR="00807428" w:rsidRPr="0025020B" w:rsidRDefault="00807428" w:rsidP="00363DD6">
            <w:pPr>
              <w:jc w:val="center"/>
              <w:rPr>
                <w:sz w:val="21"/>
                <w:szCs w:val="21"/>
              </w:rPr>
            </w:pPr>
            <w:r w:rsidRPr="0025020B">
              <w:rPr>
                <w:sz w:val="21"/>
                <w:szCs w:val="21"/>
              </w:rPr>
              <w:t>1.617</w:t>
            </w:r>
            <w:r w:rsidRPr="0025020B">
              <w:rPr>
                <w:color w:val="000000"/>
                <w:sz w:val="21"/>
                <w:szCs w:val="21"/>
                <w:vertAlign w:val="superscript"/>
              </w:rPr>
              <w:t>***</w:t>
            </w:r>
          </w:p>
        </w:tc>
      </w:tr>
      <w:tr w:rsidR="00807428" w:rsidRPr="0025020B" w14:paraId="3E507D6D" w14:textId="77777777" w:rsidTr="001B1DE8">
        <w:trPr>
          <w:trHeight w:val="20"/>
        </w:trPr>
        <w:tc>
          <w:tcPr>
            <w:tcW w:w="3380" w:type="dxa"/>
            <w:tcBorders>
              <w:top w:val="nil"/>
              <w:left w:val="nil"/>
              <w:bottom w:val="nil"/>
              <w:right w:val="nil"/>
            </w:tcBorders>
            <w:shd w:val="clear" w:color="000000" w:fill="FFFFFF"/>
            <w:vAlign w:val="center"/>
            <w:hideMark/>
          </w:tcPr>
          <w:p w14:paraId="4FF5FFC0"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B614656"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4DD4260F" w14:textId="77777777" w:rsidR="00807428" w:rsidRPr="0025020B" w:rsidRDefault="00807428" w:rsidP="00363DD6">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5EC4FEF7" w14:textId="77777777" w:rsidR="00807428" w:rsidRPr="0025020B" w:rsidRDefault="00807428" w:rsidP="00363DD6">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46762AB0" w14:textId="77777777" w:rsidR="00807428" w:rsidRPr="0025020B" w:rsidRDefault="00807428" w:rsidP="00363DD6">
            <w:pPr>
              <w:jc w:val="center"/>
              <w:rPr>
                <w:sz w:val="21"/>
                <w:szCs w:val="21"/>
              </w:rPr>
            </w:pPr>
            <w:r w:rsidRPr="0025020B">
              <w:rPr>
                <w:sz w:val="21"/>
                <w:szCs w:val="21"/>
              </w:rPr>
              <w:t>(0.01)</w:t>
            </w:r>
          </w:p>
        </w:tc>
      </w:tr>
      <w:tr w:rsidR="00807428" w:rsidRPr="0025020B" w14:paraId="1C6C5214" w14:textId="77777777" w:rsidTr="001B1DE8">
        <w:trPr>
          <w:trHeight w:val="20"/>
        </w:trPr>
        <w:tc>
          <w:tcPr>
            <w:tcW w:w="3380" w:type="dxa"/>
            <w:tcBorders>
              <w:top w:val="nil"/>
              <w:left w:val="nil"/>
              <w:bottom w:val="nil"/>
              <w:right w:val="nil"/>
            </w:tcBorders>
            <w:shd w:val="clear" w:color="000000" w:fill="FFFFFF"/>
            <w:vAlign w:val="center"/>
            <w:hideMark/>
          </w:tcPr>
          <w:p w14:paraId="30E8901F" w14:textId="77777777" w:rsidR="00807428" w:rsidRPr="0025020B" w:rsidRDefault="00807428" w:rsidP="00363DD6">
            <w:pPr>
              <w:rPr>
                <w:color w:val="000000"/>
                <w:sz w:val="21"/>
                <w:szCs w:val="21"/>
              </w:rPr>
            </w:pPr>
            <w:r w:rsidRPr="0025020B">
              <w:rPr>
                <w:color w:val="000000"/>
                <w:sz w:val="21"/>
                <w:szCs w:val="21"/>
              </w:rPr>
              <w:t>Asian</w:t>
            </w:r>
          </w:p>
        </w:tc>
        <w:tc>
          <w:tcPr>
            <w:tcW w:w="1427" w:type="dxa"/>
            <w:tcBorders>
              <w:top w:val="nil"/>
              <w:left w:val="nil"/>
              <w:bottom w:val="nil"/>
              <w:right w:val="nil"/>
            </w:tcBorders>
            <w:shd w:val="clear" w:color="000000" w:fill="FFFFFF"/>
            <w:vAlign w:val="center"/>
            <w:hideMark/>
          </w:tcPr>
          <w:p w14:paraId="64EDC0B6"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00702F3" w14:textId="77777777" w:rsidR="00807428" w:rsidRPr="0025020B" w:rsidRDefault="00807428" w:rsidP="00363DD6">
            <w:pPr>
              <w:jc w:val="center"/>
              <w:rPr>
                <w:sz w:val="21"/>
                <w:szCs w:val="21"/>
              </w:rPr>
            </w:pPr>
            <w:r w:rsidRPr="0025020B">
              <w:rPr>
                <w:sz w:val="21"/>
                <w:szCs w:val="21"/>
              </w:rPr>
              <w:t>0.092</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7808EF47" w14:textId="77777777" w:rsidR="00807428" w:rsidRPr="0025020B" w:rsidRDefault="00807428" w:rsidP="00363DD6">
            <w:pPr>
              <w:jc w:val="center"/>
              <w:rPr>
                <w:sz w:val="21"/>
                <w:szCs w:val="21"/>
              </w:rPr>
            </w:pPr>
            <w:r w:rsidRPr="0025020B">
              <w:rPr>
                <w:sz w:val="21"/>
                <w:szCs w:val="21"/>
              </w:rPr>
              <w:t>0.061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09D0702E" w14:textId="77777777" w:rsidR="00807428" w:rsidRPr="0025020B" w:rsidRDefault="00807428" w:rsidP="00363DD6">
            <w:pPr>
              <w:jc w:val="center"/>
              <w:rPr>
                <w:sz w:val="21"/>
                <w:szCs w:val="21"/>
              </w:rPr>
            </w:pPr>
            <w:r w:rsidRPr="005A69AC">
              <w:rPr>
                <w:sz w:val="21"/>
                <w:szCs w:val="21"/>
              </w:rPr>
              <w:t>-0.017</w:t>
            </w:r>
          </w:p>
        </w:tc>
      </w:tr>
      <w:tr w:rsidR="00807428" w:rsidRPr="0025020B" w14:paraId="6326E592" w14:textId="77777777" w:rsidTr="001B1DE8">
        <w:trPr>
          <w:trHeight w:val="20"/>
        </w:trPr>
        <w:tc>
          <w:tcPr>
            <w:tcW w:w="3380" w:type="dxa"/>
            <w:tcBorders>
              <w:top w:val="nil"/>
              <w:left w:val="nil"/>
              <w:bottom w:val="nil"/>
              <w:right w:val="nil"/>
            </w:tcBorders>
            <w:shd w:val="clear" w:color="000000" w:fill="FFFFFF"/>
            <w:vAlign w:val="center"/>
            <w:hideMark/>
          </w:tcPr>
          <w:p w14:paraId="02959A0B"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0434421"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F997F4D" w14:textId="77777777" w:rsidR="00807428" w:rsidRPr="0025020B" w:rsidRDefault="00807428" w:rsidP="00363DD6">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6EB5B198" w14:textId="77777777" w:rsidR="00807428" w:rsidRPr="0025020B" w:rsidRDefault="00807428" w:rsidP="00363DD6">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4B6B018A" w14:textId="77777777" w:rsidR="00807428" w:rsidRPr="0025020B" w:rsidRDefault="00807428" w:rsidP="00363DD6">
            <w:pPr>
              <w:jc w:val="center"/>
              <w:rPr>
                <w:sz w:val="21"/>
                <w:szCs w:val="21"/>
              </w:rPr>
            </w:pPr>
            <w:r w:rsidRPr="0025020B">
              <w:rPr>
                <w:sz w:val="21"/>
                <w:szCs w:val="21"/>
              </w:rPr>
              <w:t>(0.01)</w:t>
            </w:r>
          </w:p>
        </w:tc>
      </w:tr>
      <w:tr w:rsidR="00807428" w:rsidRPr="0025020B" w14:paraId="2EACB5CD" w14:textId="77777777" w:rsidTr="001B1DE8">
        <w:trPr>
          <w:trHeight w:val="20"/>
        </w:trPr>
        <w:tc>
          <w:tcPr>
            <w:tcW w:w="3380" w:type="dxa"/>
            <w:tcBorders>
              <w:top w:val="nil"/>
              <w:left w:val="nil"/>
              <w:bottom w:val="nil"/>
              <w:right w:val="nil"/>
            </w:tcBorders>
            <w:shd w:val="clear" w:color="000000" w:fill="FFFFFF"/>
            <w:vAlign w:val="center"/>
            <w:hideMark/>
          </w:tcPr>
          <w:p w14:paraId="6641F518" w14:textId="77777777" w:rsidR="00807428" w:rsidRPr="0025020B" w:rsidRDefault="00807428" w:rsidP="00363DD6">
            <w:pPr>
              <w:rPr>
                <w:color w:val="000000"/>
                <w:sz w:val="21"/>
                <w:szCs w:val="21"/>
              </w:rPr>
            </w:pPr>
            <w:r w:rsidRPr="0025020B">
              <w:rPr>
                <w:color w:val="000000"/>
                <w:sz w:val="21"/>
                <w:szCs w:val="21"/>
              </w:rPr>
              <w:t>Native American</w:t>
            </w:r>
          </w:p>
        </w:tc>
        <w:tc>
          <w:tcPr>
            <w:tcW w:w="1427" w:type="dxa"/>
            <w:tcBorders>
              <w:top w:val="nil"/>
              <w:left w:val="nil"/>
              <w:bottom w:val="nil"/>
              <w:right w:val="nil"/>
            </w:tcBorders>
            <w:shd w:val="clear" w:color="000000" w:fill="FFFFFF"/>
            <w:vAlign w:val="center"/>
            <w:hideMark/>
          </w:tcPr>
          <w:p w14:paraId="0B647882"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86FBE16" w14:textId="77777777" w:rsidR="00807428" w:rsidRPr="0025020B" w:rsidRDefault="00807428" w:rsidP="00363DD6">
            <w:pPr>
              <w:jc w:val="center"/>
              <w:rPr>
                <w:sz w:val="21"/>
                <w:szCs w:val="21"/>
              </w:rPr>
            </w:pPr>
            <w:r w:rsidRPr="0025020B">
              <w:rPr>
                <w:sz w:val="21"/>
                <w:szCs w:val="21"/>
              </w:rPr>
              <w:t>0.206</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61DC27EF" w14:textId="77777777" w:rsidR="00807428" w:rsidRPr="0025020B" w:rsidRDefault="00807428" w:rsidP="00363DD6">
            <w:pPr>
              <w:jc w:val="center"/>
              <w:rPr>
                <w:sz w:val="21"/>
                <w:szCs w:val="21"/>
              </w:rPr>
            </w:pPr>
            <w:r w:rsidRPr="0025020B">
              <w:rPr>
                <w:sz w:val="21"/>
                <w:szCs w:val="21"/>
              </w:rPr>
              <w:t>0.204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55F4E2C6" w14:textId="77777777" w:rsidR="00807428" w:rsidRPr="0025020B" w:rsidRDefault="00807428" w:rsidP="00363DD6">
            <w:pPr>
              <w:jc w:val="center"/>
              <w:rPr>
                <w:sz w:val="21"/>
                <w:szCs w:val="21"/>
              </w:rPr>
            </w:pPr>
            <w:r w:rsidRPr="0025020B">
              <w:rPr>
                <w:sz w:val="21"/>
                <w:szCs w:val="21"/>
              </w:rPr>
              <w:t>0.227</w:t>
            </w:r>
            <w:r w:rsidRPr="0025020B">
              <w:rPr>
                <w:color w:val="000000"/>
                <w:sz w:val="21"/>
                <w:szCs w:val="21"/>
                <w:vertAlign w:val="superscript"/>
              </w:rPr>
              <w:t>***</w:t>
            </w:r>
          </w:p>
        </w:tc>
      </w:tr>
      <w:tr w:rsidR="00807428" w:rsidRPr="0025020B" w14:paraId="53AC5FE5" w14:textId="77777777" w:rsidTr="001B1DE8">
        <w:trPr>
          <w:trHeight w:val="20"/>
        </w:trPr>
        <w:tc>
          <w:tcPr>
            <w:tcW w:w="3380" w:type="dxa"/>
            <w:tcBorders>
              <w:top w:val="nil"/>
              <w:left w:val="nil"/>
              <w:bottom w:val="nil"/>
              <w:right w:val="nil"/>
            </w:tcBorders>
            <w:shd w:val="clear" w:color="000000" w:fill="FFFFFF"/>
            <w:vAlign w:val="center"/>
            <w:hideMark/>
          </w:tcPr>
          <w:p w14:paraId="32C73438"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F2B0B68"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1615E0F" w14:textId="77777777" w:rsidR="00807428" w:rsidRPr="0025020B" w:rsidRDefault="00807428" w:rsidP="00363DD6">
            <w:pPr>
              <w:jc w:val="center"/>
              <w:rPr>
                <w:sz w:val="21"/>
                <w:szCs w:val="21"/>
              </w:rPr>
            </w:pPr>
            <w:r w:rsidRPr="0025020B">
              <w:rPr>
                <w:sz w:val="21"/>
                <w:szCs w:val="21"/>
              </w:rPr>
              <w:t>(0.05)</w:t>
            </w:r>
          </w:p>
        </w:tc>
        <w:tc>
          <w:tcPr>
            <w:tcW w:w="1427" w:type="dxa"/>
            <w:tcBorders>
              <w:top w:val="nil"/>
              <w:left w:val="nil"/>
              <w:bottom w:val="nil"/>
              <w:right w:val="nil"/>
            </w:tcBorders>
            <w:shd w:val="clear" w:color="000000" w:fill="FFFFFF"/>
            <w:vAlign w:val="center"/>
            <w:hideMark/>
          </w:tcPr>
          <w:p w14:paraId="1F625804" w14:textId="77777777" w:rsidR="00807428" w:rsidRPr="0025020B" w:rsidRDefault="00807428" w:rsidP="00363DD6">
            <w:pPr>
              <w:jc w:val="center"/>
              <w:rPr>
                <w:sz w:val="21"/>
                <w:szCs w:val="21"/>
              </w:rPr>
            </w:pPr>
            <w:r w:rsidRPr="0025020B">
              <w:rPr>
                <w:sz w:val="21"/>
                <w:szCs w:val="21"/>
              </w:rPr>
              <w:t>(0.05)</w:t>
            </w:r>
          </w:p>
        </w:tc>
        <w:tc>
          <w:tcPr>
            <w:tcW w:w="1428" w:type="dxa"/>
            <w:tcBorders>
              <w:top w:val="nil"/>
              <w:left w:val="nil"/>
              <w:bottom w:val="nil"/>
              <w:right w:val="nil"/>
            </w:tcBorders>
            <w:shd w:val="clear" w:color="000000" w:fill="FFFFFF"/>
            <w:vAlign w:val="center"/>
            <w:hideMark/>
          </w:tcPr>
          <w:p w14:paraId="1AD760E1" w14:textId="77777777" w:rsidR="00807428" w:rsidRPr="0025020B" w:rsidRDefault="00807428" w:rsidP="00363DD6">
            <w:pPr>
              <w:jc w:val="center"/>
              <w:rPr>
                <w:sz w:val="21"/>
                <w:szCs w:val="21"/>
              </w:rPr>
            </w:pPr>
            <w:r w:rsidRPr="0025020B">
              <w:rPr>
                <w:sz w:val="21"/>
                <w:szCs w:val="21"/>
              </w:rPr>
              <w:t>(0.05)</w:t>
            </w:r>
          </w:p>
        </w:tc>
      </w:tr>
      <w:tr w:rsidR="00807428" w:rsidRPr="0025020B" w14:paraId="6EB53B3F" w14:textId="77777777" w:rsidTr="001B1DE8">
        <w:trPr>
          <w:trHeight w:val="20"/>
        </w:trPr>
        <w:tc>
          <w:tcPr>
            <w:tcW w:w="3380" w:type="dxa"/>
            <w:tcBorders>
              <w:top w:val="nil"/>
              <w:left w:val="nil"/>
              <w:bottom w:val="nil"/>
              <w:right w:val="nil"/>
            </w:tcBorders>
            <w:shd w:val="clear" w:color="000000" w:fill="FFFFFF"/>
            <w:vAlign w:val="center"/>
            <w:hideMark/>
          </w:tcPr>
          <w:p w14:paraId="16E7AAF6" w14:textId="77777777" w:rsidR="00807428" w:rsidRPr="0025020B" w:rsidRDefault="00807428" w:rsidP="00363DD6">
            <w:pPr>
              <w:rPr>
                <w:color w:val="000000"/>
                <w:sz w:val="21"/>
                <w:szCs w:val="21"/>
              </w:rPr>
            </w:pPr>
            <w:r w:rsidRPr="0025020B">
              <w:rPr>
                <w:color w:val="000000"/>
                <w:sz w:val="21"/>
                <w:szCs w:val="21"/>
              </w:rPr>
              <w:t>Hispanic</w:t>
            </w:r>
          </w:p>
        </w:tc>
        <w:tc>
          <w:tcPr>
            <w:tcW w:w="1427" w:type="dxa"/>
            <w:tcBorders>
              <w:top w:val="nil"/>
              <w:left w:val="nil"/>
              <w:bottom w:val="nil"/>
              <w:right w:val="nil"/>
            </w:tcBorders>
            <w:shd w:val="clear" w:color="000000" w:fill="FFFFFF"/>
            <w:vAlign w:val="center"/>
            <w:hideMark/>
          </w:tcPr>
          <w:p w14:paraId="50965FE1"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3E923A4" w14:textId="77777777" w:rsidR="00807428" w:rsidRPr="0025020B" w:rsidRDefault="00807428" w:rsidP="00363DD6">
            <w:pPr>
              <w:jc w:val="center"/>
              <w:rPr>
                <w:sz w:val="21"/>
                <w:szCs w:val="21"/>
              </w:rPr>
            </w:pPr>
            <w:r w:rsidRPr="0025020B">
              <w:rPr>
                <w:sz w:val="21"/>
                <w:szCs w:val="21"/>
              </w:rPr>
              <w:t>0.387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12090972" w14:textId="77777777" w:rsidR="00807428" w:rsidRPr="0025020B" w:rsidRDefault="00807428" w:rsidP="00363DD6">
            <w:pPr>
              <w:jc w:val="center"/>
              <w:rPr>
                <w:sz w:val="21"/>
                <w:szCs w:val="21"/>
              </w:rPr>
            </w:pPr>
            <w:r w:rsidRPr="0025020B">
              <w:rPr>
                <w:sz w:val="21"/>
                <w:szCs w:val="21"/>
              </w:rPr>
              <w:t>0.357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FBC1D19" w14:textId="77777777" w:rsidR="00807428" w:rsidRPr="0025020B" w:rsidRDefault="00807428" w:rsidP="00363DD6">
            <w:pPr>
              <w:jc w:val="center"/>
              <w:rPr>
                <w:sz w:val="21"/>
                <w:szCs w:val="21"/>
              </w:rPr>
            </w:pPr>
            <w:r w:rsidRPr="0025020B">
              <w:rPr>
                <w:sz w:val="21"/>
                <w:szCs w:val="21"/>
              </w:rPr>
              <w:t>0.343</w:t>
            </w:r>
            <w:r w:rsidRPr="0025020B">
              <w:rPr>
                <w:color w:val="000000"/>
                <w:sz w:val="21"/>
                <w:szCs w:val="21"/>
                <w:vertAlign w:val="superscript"/>
              </w:rPr>
              <w:t>***</w:t>
            </w:r>
          </w:p>
        </w:tc>
      </w:tr>
      <w:tr w:rsidR="00807428" w:rsidRPr="0025020B" w14:paraId="2943CDF2" w14:textId="77777777" w:rsidTr="001B1DE8">
        <w:trPr>
          <w:trHeight w:val="20"/>
        </w:trPr>
        <w:tc>
          <w:tcPr>
            <w:tcW w:w="3380" w:type="dxa"/>
            <w:tcBorders>
              <w:top w:val="nil"/>
              <w:left w:val="nil"/>
              <w:bottom w:val="nil"/>
              <w:right w:val="nil"/>
            </w:tcBorders>
            <w:shd w:val="clear" w:color="000000" w:fill="FFFFFF"/>
            <w:vAlign w:val="center"/>
            <w:hideMark/>
          </w:tcPr>
          <w:p w14:paraId="39AEC0C5"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0261A2A"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0C67381" w14:textId="77777777" w:rsidR="00807428" w:rsidRPr="0025020B" w:rsidRDefault="00807428" w:rsidP="00363DD6">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684A092F" w14:textId="77777777" w:rsidR="00807428" w:rsidRPr="0025020B" w:rsidRDefault="00807428" w:rsidP="00363DD6">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7B4F38D2" w14:textId="77777777" w:rsidR="00807428" w:rsidRPr="0025020B" w:rsidRDefault="00807428" w:rsidP="00363DD6">
            <w:pPr>
              <w:jc w:val="center"/>
              <w:rPr>
                <w:sz w:val="21"/>
                <w:szCs w:val="21"/>
              </w:rPr>
            </w:pPr>
            <w:r w:rsidRPr="0025020B">
              <w:rPr>
                <w:sz w:val="21"/>
                <w:szCs w:val="21"/>
              </w:rPr>
              <w:t>(0.01)</w:t>
            </w:r>
          </w:p>
        </w:tc>
      </w:tr>
      <w:tr w:rsidR="00807428" w:rsidRPr="0025020B" w14:paraId="75F38234" w14:textId="77777777" w:rsidTr="001B1DE8">
        <w:trPr>
          <w:trHeight w:val="20"/>
        </w:trPr>
        <w:tc>
          <w:tcPr>
            <w:tcW w:w="3380" w:type="dxa"/>
            <w:tcBorders>
              <w:top w:val="nil"/>
              <w:left w:val="nil"/>
              <w:bottom w:val="nil"/>
              <w:right w:val="nil"/>
            </w:tcBorders>
            <w:shd w:val="clear" w:color="000000" w:fill="FFFFFF"/>
            <w:vAlign w:val="center"/>
            <w:hideMark/>
          </w:tcPr>
          <w:p w14:paraId="294087EB" w14:textId="77777777" w:rsidR="00807428" w:rsidRPr="0025020B" w:rsidRDefault="00807428" w:rsidP="00363DD6">
            <w:pPr>
              <w:rPr>
                <w:color w:val="000000"/>
                <w:sz w:val="21"/>
                <w:szCs w:val="21"/>
              </w:rPr>
            </w:pPr>
            <w:r w:rsidRPr="0025020B">
              <w:rPr>
                <w:color w:val="000000"/>
                <w:sz w:val="21"/>
                <w:szCs w:val="21"/>
              </w:rPr>
              <w:t>Pacific Islander</w:t>
            </w:r>
          </w:p>
        </w:tc>
        <w:tc>
          <w:tcPr>
            <w:tcW w:w="1427" w:type="dxa"/>
            <w:tcBorders>
              <w:top w:val="nil"/>
              <w:left w:val="nil"/>
              <w:bottom w:val="nil"/>
              <w:right w:val="nil"/>
            </w:tcBorders>
            <w:shd w:val="clear" w:color="000000" w:fill="FFFFFF"/>
            <w:vAlign w:val="center"/>
            <w:hideMark/>
          </w:tcPr>
          <w:p w14:paraId="2BAB1565"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D60810E" w14:textId="77777777" w:rsidR="00807428" w:rsidRPr="0025020B" w:rsidRDefault="00807428" w:rsidP="00363DD6">
            <w:pPr>
              <w:jc w:val="center"/>
              <w:rPr>
                <w:sz w:val="21"/>
                <w:szCs w:val="21"/>
              </w:rPr>
            </w:pPr>
            <w:r w:rsidRPr="0025020B">
              <w:rPr>
                <w:sz w:val="21"/>
                <w:szCs w:val="21"/>
              </w:rPr>
              <w:t>-0.563</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5A43ED38" w14:textId="77777777" w:rsidR="00807428" w:rsidRPr="0025020B" w:rsidRDefault="00807428" w:rsidP="00363DD6">
            <w:pPr>
              <w:jc w:val="center"/>
              <w:rPr>
                <w:sz w:val="21"/>
                <w:szCs w:val="21"/>
              </w:rPr>
            </w:pPr>
            <w:r w:rsidRPr="0025020B">
              <w:rPr>
                <w:sz w:val="21"/>
                <w:szCs w:val="21"/>
              </w:rPr>
              <w:t>-0.531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AF07633" w14:textId="77777777" w:rsidR="00807428" w:rsidRPr="0025020B" w:rsidRDefault="00807428" w:rsidP="00363DD6">
            <w:pPr>
              <w:jc w:val="center"/>
              <w:rPr>
                <w:sz w:val="21"/>
                <w:szCs w:val="21"/>
              </w:rPr>
            </w:pPr>
            <w:r w:rsidRPr="0025020B">
              <w:rPr>
                <w:sz w:val="21"/>
                <w:szCs w:val="21"/>
              </w:rPr>
              <w:t>-0.162</w:t>
            </w:r>
            <w:r w:rsidRPr="0025020B">
              <w:rPr>
                <w:color w:val="000000"/>
                <w:sz w:val="21"/>
                <w:szCs w:val="21"/>
                <w:vertAlign w:val="superscript"/>
              </w:rPr>
              <w:t>**</w:t>
            </w:r>
          </w:p>
        </w:tc>
      </w:tr>
      <w:tr w:rsidR="00807428" w:rsidRPr="0025020B" w14:paraId="230952CC" w14:textId="77777777" w:rsidTr="001B1DE8">
        <w:trPr>
          <w:trHeight w:val="20"/>
        </w:trPr>
        <w:tc>
          <w:tcPr>
            <w:tcW w:w="3380" w:type="dxa"/>
            <w:tcBorders>
              <w:top w:val="nil"/>
              <w:left w:val="nil"/>
              <w:bottom w:val="nil"/>
              <w:right w:val="nil"/>
            </w:tcBorders>
            <w:shd w:val="clear" w:color="000000" w:fill="FFFFFF"/>
            <w:vAlign w:val="center"/>
            <w:hideMark/>
          </w:tcPr>
          <w:p w14:paraId="19D6F283"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6225B89"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4F1E8FB4" w14:textId="77777777" w:rsidR="00807428" w:rsidRPr="0025020B" w:rsidRDefault="00807428" w:rsidP="00363DD6">
            <w:pPr>
              <w:jc w:val="center"/>
              <w:rPr>
                <w:sz w:val="21"/>
                <w:szCs w:val="21"/>
              </w:rPr>
            </w:pPr>
            <w:r w:rsidRPr="0025020B">
              <w:rPr>
                <w:sz w:val="21"/>
                <w:szCs w:val="21"/>
              </w:rPr>
              <w:t>(0.08)</w:t>
            </w:r>
          </w:p>
        </w:tc>
        <w:tc>
          <w:tcPr>
            <w:tcW w:w="1427" w:type="dxa"/>
            <w:tcBorders>
              <w:top w:val="nil"/>
              <w:left w:val="nil"/>
              <w:bottom w:val="nil"/>
              <w:right w:val="nil"/>
            </w:tcBorders>
            <w:shd w:val="clear" w:color="000000" w:fill="FFFFFF"/>
            <w:vAlign w:val="center"/>
            <w:hideMark/>
          </w:tcPr>
          <w:p w14:paraId="627BCCAC" w14:textId="77777777" w:rsidR="00807428" w:rsidRPr="0025020B" w:rsidRDefault="00807428" w:rsidP="00363DD6">
            <w:pPr>
              <w:jc w:val="center"/>
              <w:rPr>
                <w:sz w:val="21"/>
                <w:szCs w:val="21"/>
              </w:rPr>
            </w:pPr>
            <w:r w:rsidRPr="0025020B">
              <w:rPr>
                <w:sz w:val="21"/>
                <w:szCs w:val="21"/>
              </w:rPr>
              <w:t>(0.08)</w:t>
            </w:r>
          </w:p>
        </w:tc>
        <w:tc>
          <w:tcPr>
            <w:tcW w:w="1428" w:type="dxa"/>
            <w:tcBorders>
              <w:top w:val="nil"/>
              <w:left w:val="nil"/>
              <w:bottom w:val="nil"/>
              <w:right w:val="nil"/>
            </w:tcBorders>
            <w:shd w:val="clear" w:color="000000" w:fill="FFFFFF"/>
            <w:vAlign w:val="center"/>
            <w:hideMark/>
          </w:tcPr>
          <w:p w14:paraId="4267CBFC" w14:textId="77777777" w:rsidR="00807428" w:rsidRPr="0025020B" w:rsidRDefault="00807428" w:rsidP="00363DD6">
            <w:pPr>
              <w:jc w:val="center"/>
              <w:rPr>
                <w:sz w:val="21"/>
                <w:szCs w:val="21"/>
              </w:rPr>
            </w:pPr>
            <w:r w:rsidRPr="0025020B">
              <w:rPr>
                <w:sz w:val="21"/>
                <w:szCs w:val="21"/>
              </w:rPr>
              <w:t>(0.08)</w:t>
            </w:r>
          </w:p>
        </w:tc>
      </w:tr>
      <w:tr w:rsidR="00807428" w:rsidRPr="0025020B" w14:paraId="0BDF4A04" w14:textId="77777777" w:rsidTr="001B1DE8">
        <w:trPr>
          <w:trHeight w:val="20"/>
        </w:trPr>
        <w:tc>
          <w:tcPr>
            <w:tcW w:w="3380" w:type="dxa"/>
            <w:tcBorders>
              <w:top w:val="nil"/>
              <w:left w:val="nil"/>
              <w:bottom w:val="nil"/>
              <w:right w:val="nil"/>
            </w:tcBorders>
            <w:shd w:val="clear" w:color="000000" w:fill="FFFFFF"/>
            <w:vAlign w:val="center"/>
            <w:hideMark/>
          </w:tcPr>
          <w:p w14:paraId="37BA2431" w14:textId="77777777" w:rsidR="00807428" w:rsidRPr="0025020B" w:rsidRDefault="00807428" w:rsidP="00363DD6">
            <w:pPr>
              <w:rPr>
                <w:color w:val="000000"/>
                <w:sz w:val="21"/>
                <w:szCs w:val="21"/>
              </w:rPr>
            </w:pPr>
            <w:r w:rsidRPr="0025020B">
              <w:rPr>
                <w:color w:val="000000"/>
                <w:sz w:val="21"/>
                <w:szCs w:val="21"/>
              </w:rPr>
              <w:t>Fannie Mae purchased</w:t>
            </w:r>
          </w:p>
        </w:tc>
        <w:tc>
          <w:tcPr>
            <w:tcW w:w="1427" w:type="dxa"/>
            <w:tcBorders>
              <w:top w:val="nil"/>
              <w:left w:val="nil"/>
              <w:bottom w:val="nil"/>
              <w:right w:val="nil"/>
            </w:tcBorders>
            <w:shd w:val="clear" w:color="000000" w:fill="FFFFFF"/>
            <w:vAlign w:val="center"/>
            <w:hideMark/>
          </w:tcPr>
          <w:p w14:paraId="7B0B3B99"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8FA4794" w14:textId="77777777" w:rsidR="00807428" w:rsidRPr="0025020B" w:rsidRDefault="00807428" w:rsidP="00363DD6">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498E14B" w14:textId="77777777" w:rsidR="00807428" w:rsidRPr="0025020B" w:rsidRDefault="00807428" w:rsidP="00363DD6">
            <w:pPr>
              <w:jc w:val="center"/>
              <w:rPr>
                <w:sz w:val="21"/>
                <w:szCs w:val="21"/>
              </w:rPr>
            </w:pPr>
            <w:r w:rsidRPr="0025020B">
              <w:rPr>
                <w:sz w:val="21"/>
                <w:szCs w:val="21"/>
              </w:rPr>
              <w:t>-0.389</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807BCB5" w14:textId="77777777" w:rsidR="00807428" w:rsidRPr="0025020B" w:rsidRDefault="00807428" w:rsidP="00363DD6">
            <w:pPr>
              <w:jc w:val="center"/>
              <w:rPr>
                <w:sz w:val="21"/>
                <w:szCs w:val="21"/>
              </w:rPr>
            </w:pPr>
            <w:r w:rsidRPr="0025020B">
              <w:rPr>
                <w:sz w:val="21"/>
                <w:szCs w:val="21"/>
              </w:rPr>
              <w:t>-0.390</w:t>
            </w:r>
            <w:r w:rsidRPr="0025020B">
              <w:rPr>
                <w:color w:val="000000"/>
                <w:sz w:val="21"/>
                <w:szCs w:val="21"/>
                <w:vertAlign w:val="superscript"/>
              </w:rPr>
              <w:t>***</w:t>
            </w:r>
          </w:p>
        </w:tc>
      </w:tr>
      <w:tr w:rsidR="00807428" w:rsidRPr="0025020B" w14:paraId="62EC9D47" w14:textId="77777777" w:rsidTr="001B1DE8">
        <w:trPr>
          <w:trHeight w:val="20"/>
        </w:trPr>
        <w:tc>
          <w:tcPr>
            <w:tcW w:w="3380" w:type="dxa"/>
            <w:tcBorders>
              <w:top w:val="nil"/>
              <w:left w:val="nil"/>
              <w:bottom w:val="nil"/>
              <w:right w:val="nil"/>
            </w:tcBorders>
            <w:shd w:val="clear" w:color="000000" w:fill="FFFFFF"/>
            <w:vAlign w:val="center"/>
            <w:hideMark/>
          </w:tcPr>
          <w:p w14:paraId="10274243"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D25D0C4"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EC6D388" w14:textId="77777777" w:rsidR="00807428" w:rsidRPr="0025020B" w:rsidRDefault="00807428" w:rsidP="00363DD6">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CADEA8F" w14:textId="77777777" w:rsidR="00807428" w:rsidRPr="0025020B" w:rsidRDefault="00807428" w:rsidP="00363DD6">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670C6E34" w14:textId="77777777" w:rsidR="00807428" w:rsidRPr="0025020B" w:rsidRDefault="00807428" w:rsidP="00363DD6">
            <w:pPr>
              <w:jc w:val="center"/>
              <w:rPr>
                <w:sz w:val="21"/>
                <w:szCs w:val="21"/>
              </w:rPr>
            </w:pPr>
            <w:r w:rsidRPr="0025020B">
              <w:rPr>
                <w:sz w:val="21"/>
                <w:szCs w:val="21"/>
              </w:rPr>
              <w:t>(0.02)</w:t>
            </w:r>
          </w:p>
        </w:tc>
      </w:tr>
      <w:tr w:rsidR="00807428" w:rsidRPr="0025020B" w14:paraId="2F1B6D8B" w14:textId="77777777" w:rsidTr="001B1DE8">
        <w:trPr>
          <w:trHeight w:val="20"/>
        </w:trPr>
        <w:tc>
          <w:tcPr>
            <w:tcW w:w="3380" w:type="dxa"/>
            <w:tcBorders>
              <w:top w:val="nil"/>
              <w:left w:val="nil"/>
              <w:bottom w:val="nil"/>
              <w:right w:val="nil"/>
            </w:tcBorders>
            <w:shd w:val="clear" w:color="000000" w:fill="FFFFFF"/>
            <w:vAlign w:val="center"/>
            <w:hideMark/>
          </w:tcPr>
          <w:p w14:paraId="2A5A8536" w14:textId="77777777" w:rsidR="00807428" w:rsidRPr="0025020B" w:rsidRDefault="00807428" w:rsidP="00363DD6">
            <w:pPr>
              <w:rPr>
                <w:color w:val="000000"/>
                <w:sz w:val="21"/>
                <w:szCs w:val="21"/>
              </w:rPr>
            </w:pPr>
            <w:r w:rsidRPr="0025020B">
              <w:rPr>
                <w:color w:val="000000"/>
                <w:sz w:val="21"/>
                <w:szCs w:val="21"/>
              </w:rPr>
              <w:t>Freddie Mac purchased</w:t>
            </w:r>
          </w:p>
        </w:tc>
        <w:tc>
          <w:tcPr>
            <w:tcW w:w="1427" w:type="dxa"/>
            <w:tcBorders>
              <w:top w:val="nil"/>
              <w:left w:val="nil"/>
              <w:bottom w:val="nil"/>
              <w:right w:val="nil"/>
            </w:tcBorders>
            <w:shd w:val="clear" w:color="000000" w:fill="FFFFFF"/>
            <w:vAlign w:val="center"/>
            <w:hideMark/>
          </w:tcPr>
          <w:p w14:paraId="6DB528FA"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9F20025" w14:textId="77777777" w:rsidR="00807428" w:rsidRPr="0025020B" w:rsidRDefault="00807428" w:rsidP="00363DD6">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3FC7910" w14:textId="77777777" w:rsidR="00807428" w:rsidRPr="0025020B" w:rsidRDefault="00807428" w:rsidP="00363DD6">
            <w:pPr>
              <w:jc w:val="center"/>
              <w:rPr>
                <w:sz w:val="21"/>
                <w:szCs w:val="21"/>
              </w:rPr>
            </w:pPr>
            <w:r w:rsidRPr="0025020B">
              <w:rPr>
                <w:sz w:val="21"/>
                <w:szCs w:val="21"/>
              </w:rPr>
              <w:t>-0.303</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7BD2AAF" w14:textId="77777777" w:rsidR="00807428" w:rsidRPr="0025020B" w:rsidRDefault="00807428" w:rsidP="00363DD6">
            <w:pPr>
              <w:jc w:val="center"/>
              <w:rPr>
                <w:sz w:val="21"/>
                <w:szCs w:val="21"/>
              </w:rPr>
            </w:pPr>
            <w:r w:rsidRPr="0025020B">
              <w:rPr>
                <w:sz w:val="21"/>
                <w:szCs w:val="21"/>
              </w:rPr>
              <w:t>-0.481</w:t>
            </w:r>
            <w:r w:rsidRPr="0025020B">
              <w:rPr>
                <w:color w:val="000000"/>
                <w:sz w:val="21"/>
                <w:szCs w:val="21"/>
                <w:vertAlign w:val="superscript"/>
              </w:rPr>
              <w:t>***</w:t>
            </w:r>
          </w:p>
        </w:tc>
      </w:tr>
      <w:tr w:rsidR="00807428" w:rsidRPr="0025020B" w14:paraId="6D2FB06C" w14:textId="77777777" w:rsidTr="001B1DE8">
        <w:trPr>
          <w:trHeight w:val="20"/>
        </w:trPr>
        <w:tc>
          <w:tcPr>
            <w:tcW w:w="3380" w:type="dxa"/>
            <w:tcBorders>
              <w:top w:val="nil"/>
              <w:left w:val="nil"/>
              <w:bottom w:val="nil"/>
              <w:right w:val="nil"/>
            </w:tcBorders>
            <w:shd w:val="clear" w:color="000000" w:fill="FFFFFF"/>
            <w:vAlign w:val="center"/>
            <w:hideMark/>
          </w:tcPr>
          <w:p w14:paraId="4A462B9D"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103EFC5"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F1201DB" w14:textId="77777777" w:rsidR="00807428" w:rsidRPr="0025020B" w:rsidRDefault="00807428" w:rsidP="00363DD6">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0DDE542" w14:textId="77777777" w:rsidR="00807428" w:rsidRPr="0025020B" w:rsidRDefault="00807428" w:rsidP="00363DD6">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1BB0EAE2" w14:textId="77777777" w:rsidR="00807428" w:rsidRPr="0025020B" w:rsidRDefault="00807428" w:rsidP="00363DD6">
            <w:pPr>
              <w:jc w:val="center"/>
              <w:rPr>
                <w:sz w:val="21"/>
                <w:szCs w:val="21"/>
              </w:rPr>
            </w:pPr>
            <w:r w:rsidRPr="0025020B">
              <w:rPr>
                <w:sz w:val="21"/>
                <w:szCs w:val="21"/>
              </w:rPr>
              <w:t>(0.02)</w:t>
            </w:r>
          </w:p>
        </w:tc>
      </w:tr>
      <w:tr w:rsidR="00807428" w:rsidRPr="0025020B" w14:paraId="3A1A8489" w14:textId="77777777" w:rsidTr="001B1DE8">
        <w:trPr>
          <w:trHeight w:val="20"/>
        </w:trPr>
        <w:tc>
          <w:tcPr>
            <w:tcW w:w="3380" w:type="dxa"/>
            <w:tcBorders>
              <w:top w:val="nil"/>
              <w:left w:val="nil"/>
              <w:bottom w:val="nil"/>
              <w:right w:val="nil"/>
            </w:tcBorders>
            <w:shd w:val="clear" w:color="000000" w:fill="FFFFFF"/>
            <w:vAlign w:val="center"/>
            <w:hideMark/>
          </w:tcPr>
          <w:p w14:paraId="599014A5" w14:textId="77777777" w:rsidR="00807428" w:rsidRPr="0025020B" w:rsidRDefault="00807428" w:rsidP="00363DD6">
            <w:pPr>
              <w:rPr>
                <w:color w:val="000000"/>
                <w:sz w:val="21"/>
                <w:szCs w:val="21"/>
              </w:rPr>
            </w:pPr>
            <w:r w:rsidRPr="0025020B">
              <w:rPr>
                <w:color w:val="000000"/>
                <w:sz w:val="21"/>
                <w:szCs w:val="21"/>
              </w:rPr>
              <w:t>Ginnie Mae purchased</w:t>
            </w:r>
          </w:p>
        </w:tc>
        <w:tc>
          <w:tcPr>
            <w:tcW w:w="1427" w:type="dxa"/>
            <w:tcBorders>
              <w:top w:val="nil"/>
              <w:left w:val="nil"/>
              <w:bottom w:val="nil"/>
              <w:right w:val="nil"/>
            </w:tcBorders>
            <w:shd w:val="clear" w:color="000000" w:fill="FFFFFF"/>
            <w:vAlign w:val="center"/>
            <w:hideMark/>
          </w:tcPr>
          <w:p w14:paraId="0774F010"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C2A3B6E" w14:textId="77777777" w:rsidR="00807428" w:rsidRPr="0025020B" w:rsidRDefault="00807428" w:rsidP="00363DD6">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B36A57A" w14:textId="77777777" w:rsidR="00807428" w:rsidRPr="0025020B" w:rsidRDefault="00807428" w:rsidP="00363DD6">
            <w:pPr>
              <w:jc w:val="center"/>
              <w:rPr>
                <w:sz w:val="21"/>
                <w:szCs w:val="21"/>
              </w:rPr>
            </w:pPr>
            <w:r w:rsidRPr="0025020B">
              <w:rPr>
                <w:sz w:val="21"/>
                <w:szCs w:val="21"/>
              </w:rPr>
              <w:t>-0.187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2A773434" w14:textId="77777777" w:rsidR="00807428" w:rsidRPr="0025020B" w:rsidRDefault="00807428" w:rsidP="00363DD6">
            <w:pPr>
              <w:jc w:val="center"/>
              <w:rPr>
                <w:sz w:val="21"/>
                <w:szCs w:val="21"/>
              </w:rPr>
            </w:pPr>
            <w:r w:rsidRPr="0025020B">
              <w:rPr>
                <w:sz w:val="21"/>
                <w:szCs w:val="21"/>
              </w:rPr>
              <w:t>-0.278</w:t>
            </w:r>
            <w:r w:rsidRPr="0025020B">
              <w:rPr>
                <w:color w:val="000000"/>
                <w:sz w:val="21"/>
                <w:szCs w:val="21"/>
                <w:vertAlign w:val="superscript"/>
              </w:rPr>
              <w:t>***</w:t>
            </w:r>
          </w:p>
        </w:tc>
      </w:tr>
      <w:tr w:rsidR="00807428" w:rsidRPr="0025020B" w14:paraId="082229BB" w14:textId="77777777" w:rsidTr="001B1DE8">
        <w:trPr>
          <w:trHeight w:val="20"/>
        </w:trPr>
        <w:tc>
          <w:tcPr>
            <w:tcW w:w="3380" w:type="dxa"/>
            <w:tcBorders>
              <w:top w:val="nil"/>
              <w:left w:val="nil"/>
              <w:bottom w:val="nil"/>
              <w:right w:val="nil"/>
            </w:tcBorders>
            <w:shd w:val="clear" w:color="000000" w:fill="FFFFFF"/>
            <w:vAlign w:val="center"/>
            <w:hideMark/>
          </w:tcPr>
          <w:p w14:paraId="265B46D9"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6B9CCD3"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0F373E5" w14:textId="77777777" w:rsidR="00807428" w:rsidRPr="0025020B" w:rsidRDefault="00807428" w:rsidP="00363DD6">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6B20FB4" w14:textId="77777777" w:rsidR="00807428" w:rsidRPr="0025020B" w:rsidRDefault="00807428" w:rsidP="00363DD6">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38113B71" w14:textId="77777777" w:rsidR="00807428" w:rsidRPr="0025020B" w:rsidRDefault="00807428" w:rsidP="00363DD6">
            <w:pPr>
              <w:jc w:val="center"/>
              <w:rPr>
                <w:sz w:val="21"/>
                <w:szCs w:val="21"/>
              </w:rPr>
            </w:pPr>
            <w:r w:rsidRPr="0025020B">
              <w:rPr>
                <w:sz w:val="21"/>
                <w:szCs w:val="21"/>
              </w:rPr>
              <w:t>(0.02)</w:t>
            </w:r>
          </w:p>
        </w:tc>
      </w:tr>
      <w:tr w:rsidR="00807428" w:rsidRPr="0025020B" w14:paraId="1FB5E065" w14:textId="77777777" w:rsidTr="001B1DE8">
        <w:trPr>
          <w:trHeight w:val="20"/>
        </w:trPr>
        <w:tc>
          <w:tcPr>
            <w:tcW w:w="3380" w:type="dxa"/>
            <w:tcBorders>
              <w:top w:val="nil"/>
              <w:left w:val="nil"/>
              <w:bottom w:val="nil"/>
              <w:right w:val="nil"/>
            </w:tcBorders>
            <w:shd w:val="clear" w:color="000000" w:fill="FFFFFF"/>
            <w:vAlign w:val="center"/>
            <w:hideMark/>
          </w:tcPr>
          <w:p w14:paraId="21A7AFF2" w14:textId="77777777" w:rsidR="00807428" w:rsidRPr="0025020B" w:rsidRDefault="00807428" w:rsidP="00363DD6">
            <w:pPr>
              <w:rPr>
                <w:color w:val="000000"/>
                <w:sz w:val="21"/>
                <w:szCs w:val="21"/>
              </w:rPr>
            </w:pPr>
            <w:r w:rsidRPr="0025020B">
              <w:rPr>
                <w:color w:val="000000"/>
                <w:sz w:val="21"/>
                <w:szCs w:val="21"/>
              </w:rPr>
              <w:t>Denied for credit</w:t>
            </w:r>
          </w:p>
        </w:tc>
        <w:tc>
          <w:tcPr>
            <w:tcW w:w="1427" w:type="dxa"/>
            <w:tcBorders>
              <w:top w:val="nil"/>
              <w:left w:val="nil"/>
              <w:bottom w:val="nil"/>
              <w:right w:val="nil"/>
            </w:tcBorders>
            <w:shd w:val="clear" w:color="000000" w:fill="FFFFFF"/>
            <w:vAlign w:val="center"/>
            <w:hideMark/>
          </w:tcPr>
          <w:p w14:paraId="3915958E"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C173CBC" w14:textId="77777777" w:rsidR="00807428" w:rsidRPr="0025020B" w:rsidRDefault="00807428" w:rsidP="00363DD6">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281AB18" w14:textId="77777777" w:rsidR="00807428" w:rsidRPr="0025020B" w:rsidRDefault="00807428" w:rsidP="00363DD6">
            <w:pPr>
              <w:jc w:val="center"/>
              <w:rPr>
                <w:sz w:val="21"/>
                <w:szCs w:val="21"/>
              </w:rPr>
            </w:pPr>
            <w:r w:rsidRPr="0025020B">
              <w:rPr>
                <w:sz w:val="21"/>
                <w:szCs w:val="21"/>
              </w:rPr>
              <w:t>0.547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38DBDC3" w14:textId="77777777" w:rsidR="00807428" w:rsidRPr="0025020B" w:rsidRDefault="00807428" w:rsidP="00363DD6">
            <w:pPr>
              <w:jc w:val="center"/>
              <w:rPr>
                <w:sz w:val="21"/>
                <w:szCs w:val="21"/>
              </w:rPr>
            </w:pPr>
            <w:r w:rsidRPr="0025020B">
              <w:rPr>
                <w:sz w:val="21"/>
                <w:szCs w:val="21"/>
              </w:rPr>
              <w:t>0.115</w:t>
            </w:r>
            <w:r w:rsidRPr="0025020B">
              <w:rPr>
                <w:color w:val="000000"/>
                <w:sz w:val="21"/>
                <w:szCs w:val="21"/>
                <w:vertAlign w:val="superscript"/>
              </w:rPr>
              <w:t>***</w:t>
            </w:r>
          </w:p>
        </w:tc>
      </w:tr>
      <w:tr w:rsidR="00807428" w:rsidRPr="0025020B" w14:paraId="7493CAE6" w14:textId="77777777" w:rsidTr="001B1DE8">
        <w:trPr>
          <w:trHeight w:val="20"/>
        </w:trPr>
        <w:tc>
          <w:tcPr>
            <w:tcW w:w="3380" w:type="dxa"/>
            <w:tcBorders>
              <w:top w:val="nil"/>
              <w:left w:val="nil"/>
              <w:bottom w:val="nil"/>
              <w:right w:val="nil"/>
            </w:tcBorders>
            <w:shd w:val="clear" w:color="000000" w:fill="FFFFFF"/>
            <w:vAlign w:val="center"/>
            <w:hideMark/>
          </w:tcPr>
          <w:p w14:paraId="1F6E5497"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6AFECC9"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61BC340" w14:textId="77777777" w:rsidR="00807428" w:rsidRPr="0025020B" w:rsidRDefault="00807428" w:rsidP="00363DD6">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21E14C3" w14:textId="77777777" w:rsidR="00807428" w:rsidRPr="0025020B" w:rsidRDefault="00807428" w:rsidP="00363DD6">
            <w:pPr>
              <w:jc w:val="center"/>
              <w:rPr>
                <w:sz w:val="21"/>
                <w:szCs w:val="21"/>
              </w:rPr>
            </w:pPr>
            <w:r w:rsidRPr="0025020B">
              <w:rPr>
                <w:sz w:val="21"/>
                <w:szCs w:val="21"/>
              </w:rPr>
              <w:t>(0.04)</w:t>
            </w:r>
          </w:p>
        </w:tc>
        <w:tc>
          <w:tcPr>
            <w:tcW w:w="1428" w:type="dxa"/>
            <w:tcBorders>
              <w:top w:val="nil"/>
              <w:left w:val="nil"/>
              <w:bottom w:val="nil"/>
              <w:right w:val="nil"/>
            </w:tcBorders>
            <w:shd w:val="clear" w:color="000000" w:fill="FFFFFF"/>
            <w:vAlign w:val="center"/>
            <w:hideMark/>
          </w:tcPr>
          <w:p w14:paraId="070F649F" w14:textId="77777777" w:rsidR="00807428" w:rsidRPr="0025020B" w:rsidRDefault="00807428" w:rsidP="00363DD6">
            <w:pPr>
              <w:jc w:val="center"/>
              <w:rPr>
                <w:sz w:val="21"/>
                <w:szCs w:val="21"/>
              </w:rPr>
            </w:pPr>
            <w:r w:rsidRPr="0025020B">
              <w:rPr>
                <w:sz w:val="21"/>
                <w:szCs w:val="21"/>
              </w:rPr>
              <w:t>(0.03)</w:t>
            </w:r>
          </w:p>
        </w:tc>
      </w:tr>
      <w:tr w:rsidR="00807428" w:rsidRPr="0025020B" w14:paraId="636A5F87" w14:textId="77777777" w:rsidTr="001B1DE8">
        <w:trPr>
          <w:trHeight w:val="20"/>
        </w:trPr>
        <w:tc>
          <w:tcPr>
            <w:tcW w:w="3380" w:type="dxa"/>
            <w:tcBorders>
              <w:top w:val="nil"/>
              <w:left w:val="nil"/>
              <w:bottom w:val="nil"/>
              <w:right w:val="nil"/>
            </w:tcBorders>
            <w:shd w:val="clear" w:color="000000" w:fill="FFFFFF"/>
            <w:vAlign w:val="center"/>
            <w:hideMark/>
          </w:tcPr>
          <w:p w14:paraId="64DBE106" w14:textId="77777777" w:rsidR="00807428" w:rsidRPr="0025020B" w:rsidRDefault="00807428" w:rsidP="00363DD6">
            <w:pPr>
              <w:rPr>
                <w:color w:val="000000"/>
                <w:sz w:val="21"/>
                <w:szCs w:val="21"/>
              </w:rPr>
            </w:pPr>
            <w:r w:rsidRPr="0025020B">
              <w:rPr>
                <w:color w:val="000000"/>
                <w:sz w:val="21"/>
                <w:szCs w:val="21"/>
              </w:rPr>
              <w:t>Tract to MSA median income</w:t>
            </w:r>
          </w:p>
        </w:tc>
        <w:tc>
          <w:tcPr>
            <w:tcW w:w="1427" w:type="dxa"/>
            <w:tcBorders>
              <w:top w:val="nil"/>
              <w:left w:val="nil"/>
              <w:bottom w:val="nil"/>
              <w:right w:val="nil"/>
            </w:tcBorders>
            <w:shd w:val="clear" w:color="000000" w:fill="FFFFFF"/>
            <w:vAlign w:val="center"/>
            <w:hideMark/>
          </w:tcPr>
          <w:p w14:paraId="62548C9A"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0A2DF96" w14:textId="77777777" w:rsidR="00807428" w:rsidRPr="0025020B" w:rsidRDefault="00807428" w:rsidP="00363DD6">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368700E" w14:textId="77777777" w:rsidR="00807428" w:rsidRPr="0025020B" w:rsidRDefault="00807428" w:rsidP="00363DD6">
            <w:pPr>
              <w:jc w:val="center"/>
              <w:rPr>
                <w:sz w:val="21"/>
                <w:szCs w:val="21"/>
              </w:rPr>
            </w:pPr>
            <w:r w:rsidRPr="0025020B">
              <w:rPr>
                <w:sz w:val="21"/>
                <w:szCs w:val="21"/>
              </w:rPr>
              <w:t>-0.004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389FBEE0" w14:textId="77777777" w:rsidR="00807428" w:rsidRPr="0025020B" w:rsidRDefault="00807428" w:rsidP="00363DD6">
            <w:pPr>
              <w:jc w:val="center"/>
              <w:rPr>
                <w:sz w:val="21"/>
                <w:szCs w:val="21"/>
              </w:rPr>
            </w:pPr>
            <w:r w:rsidRPr="0025020B">
              <w:rPr>
                <w:sz w:val="21"/>
                <w:szCs w:val="21"/>
              </w:rPr>
              <w:t>-0.002</w:t>
            </w:r>
            <w:r w:rsidRPr="0025020B">
              <w:rPr>
                <w:color w:val="000000"/>
                <w:sz w:val="21"/>
                <w:szCs w:val="21"/>
                <w:vertAlign w:val="superscript"/>
              </w:rPr>
              <w:t>***</w:t>
            </w:r>
          </w:p>
        </w:tc>
      </w:tr>
      <w:tr w:rsidR="00807428" w:rsidRPr="0025020B" w14:paraId="4A179EAC" w14:textId="77777777" w:rsidTr="001B1DE8">
        <w:trPr>
          <w:trHeight w:val="20"/>
        </w:trPr>
        <w:tc>
          <w:tcPr>
            <w:tcW w:w="3380" w:type="dxa"/>
            <w:tcBorders>
              <w:top w:val="nil"/>
              <w:left w:val="nil"/>
              <w:bottom w:val="nil"/>
              <w:right w:val="nil"/>
            </w:tcBorders>
            <w:shd w:val="clear" w:color="000000" w:fill="FFFFFF"/>
            <w:vAlign w:val="center"/>
            <w:hideMark/>
          </w:tcPr>
          <w:p w14:paraId="02DFBB2D"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C1C6DDC"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49AF79D3" w14:textId="77777777" w:rsidR="00807428" w:rsidRPr="0025020B" w:rsidRDefault="00807428" w:rsidP="00363DD6">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BE16985" w14:textId="77777777" w:rsidR="00807428" w:rsidRPr="0025020B" w:rsidRDefault="00807428" w:rsidP="00363DD6">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4199F34D" w14:textId="77777777" w:rsidR="00807428" w:rsidRPr="0025020B" w:rsidRDefault="00807428" w:rsidP="00363DD6">
            <w:pPr>
              <w:jc w:val="center"/>
              <w:rPr>
                <w:sz w:val="21"/>
                <w:szCs w:val="21"/>
              </w:rPr>
            </w:pPr>
            <w:r w:rsidRPr="0025020B">
              <w:rPr>
                <w:sz w:val="21"/>
                <w:szCs w:val="21"/>
              </w:rPr>
              <w:t>(0.00)</w:t>
            </w:r>
          </w:p>
        </w:tc>
      </w:tr>
      <w:tr w:rsidR="00807428" w:rsidRPr="0025020B" w14:paraId="3DDA1D89" w14:textId="77777777" w:rsidTr="001B1DE8">
        <w:trPr>
          <w:trHeight w:val="20"/>
        </w:trPr>
        <w:tc>
          <w:tcPr>
            <w:tcW w:w="3380" w:type="dxa"/>
            <w:tcBorders>
              <w:top w:val="nil"/>
              <w:left w:val="nil"/>
              <w:bottom w:val="nil"/>
              <w:right w:val="nil"/>
            </w:tcBorders>
            <w:shd w:val="clear" w:color="000000" w:fill="FFFFFF"/>
            <w:vAlign w:val="center"/>
            <w:hideMark/>
          </w:tcPr>
          <w:p w14:paraId="072F1430" w14:textId="77777777" w:rsidR="00807428" w:rsidRPr="0025020B" w:rsidRDefault="00807428" w:rsidP="00363DD6">
            <w:pPr>
              <w:rPr>
                <w:color w:val="000000"/>
                <w:sz w:val="21"/>
                <w:szCs w:val="21"/>
              </w:rPr>
            </w:pPr>
            <w:r w:rsidRPr="0025020B">
              <w:rPr>
                <w:color w:val="000000"/>
                <w:sz w:val="21"/>
                <w:szCs w:val="21"/>
              </w:rPr>
              <w:t>Lender market share</w:t>
            </w:r>
          </w:p>
        </w:tc>
        <w:tc>
          <w:tcPr>
            <w:tcW w:w="1427" w:type="dxa"/>
            <w:tcBorders>
              <w:top w:val="nil"/>
              <w:left w:val="nil"/>
              <w:bottom w:val="nil"/>
              <w:right w:val="nil"/>
            </w:tcBorders>
            <w:shd w:val="clear" w:color="000000" w:fill="FFFFFF"/>
            <w:vAlign w:val="center"/>
            <w:hideMark/>
          </w:tcPr>
          <w:p w14:paraId="342637E6"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93B50D1" w14:textId="77777777" w:rsidR="00807428" w:rsidRPr="0025020B" w:rsidRDefault="00807428" w:rsidP="00363DD6">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39828BC" w14:textId="77777777" w:rsidR="00807428" w:rsidRPr="0025020B" w:rsidRDefault="00807428" w:rsidP="00363DD6">
            <w:pPr>
              <w:jc w:val="center"/>
              <w:rPr>
                <w:sz w:val="21"/>
                <w:szCs w:val="21"/>
              </w:rPr>
            </w:pPr>
            <w:r w:rsidRPr="0025020B">
              <w:rPr>
                <w:sz w:val="21"/>
                <w:szCs w:val="21"/>
              </w:rPr>
              <w:t>-0.058</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F5F80B9" w14:textId="77777777" w:rsidR="00807428" w:rsidRPr="0025020B" w:rsidRDefault="00807428" w:rsidP="00363DD6">
            <w:pPr>
              <w:jc w:val="center"/>
              <w:rPr>
                <w:sz w:val="21"/>
                <w:szCs w:val="21"/>
              </w:rPr>
            </w:pPr>
            <w:r w:rsidRPr="0025020B">
              <w:rPr>
                <w:sz w:val="21"/>
                <w:szCs w:val="21"/>
              </w:rPr>
              <w:t>0.245</w:t>
            </w:r>
            <w:r w:rsidRPr="0025020B">
              <w:rPr>
                <w:color w:val="000000"/>
                <w:sz w:val="21"/>
                <w:szCs w:val="21"/>
                <w:vertAlign w:val="superscript"/>
              </w:rPr>
              <w:t>***</w:t>
            </w:r>
          </w:p>
        </w:tc>
      </w:tr>
      <w:tr w:rsidR="00807428" w:rsidRPr="0025020B" w14:paraId="792C9D5A" w14:textId="77777777" w:rsidTr="001B1DE8">
        <w:trPr>
          <w:trHeight w:val="20"/>
        </w:trPr>
        <w:tc>
          <w:tcPr>
            <w:tcW w:w="3380" w:type="dxa"/>
            <w:tcBorders>
              <w:top w:val="nil"/>
              <w:left w:val="nil"/>
              <w:bottom w:val="nil"/>
              <w:right w:val="nil"/>
            </w:tcBorders>
            <w:shd w:val="clear" w:color="000000" w:fill="FFFFFF"/>
            <w:vAlign w:val="center"/>
            <w:hideMark/>
          </w:tcPr>
          <w:p w14:paraId="73ABF2FF"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69625DC" w14:textId="77777777" w:rsidR="00807428" w:rsidRPr="0025020B" w:rsidRDefault="00807428" w:rsidP="00363DD6">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9374143" w14:textId="77777777" w:rsidR="00807428" w:rsidRPr="0025020B" w:rsidRDefault="00807428" w:rsidP="00363DD6">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7CF871A" w14:textId="77777777" w:rsidR="00807428" w:rsidRPr="0025020B" w:rsidRDefault="00807428" w:rsidP="00363DD6">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3F7EA92B" w14:textId="77777777" w:rsidR="00807428" w:rsidRPr="0025020B" w:rsidRDefault="00807428" w:rsidP="00363DD6">
            <w:pPr>
              <w:jc w:val="center"/>
              <w:rPr>
                <w:sz w:val="21"/>
                <w:szCs w:val="21"/>
              </w:rPr>
            </w:pPr>
            <w:r w:rsidRPr="0025020B">
              <w:rPr>
                <w:sz w:val="21"/>
                <w:szCs w:val="21"/>
              </w:rPr>
              <w:t>(0.01)</w:t>
            </w:r>
          </w:p>
        </w:tc>
      </w:tr>
      <w:tr w:rsidR="00807428" w:rsidRPr="0025020B" w14:paraId="72D393C0" w14:textId="77777777" w:rsidTr="001B1DE8">
        <w:trPr>
          <w:trHeight w:val="20"/>
        </w:trPr>
        <w:tc>
          <w:tcPr>
            <w:tcW w:w="3380" w:type="dxa"/>
            <w:tcBorders>
              <w:top w:val="nil"/>
              <w:left w:val="nil"/>
              <w:bottom w:val="nil"/>
              <w:right w:val="nil"/>
            </w:tcBorders>
            <w:shd w:val="clear" w:color="000000" w:fill="FFFFFF"/>
            <w:vAlign w:val="center"/>
            <w:hideMark/>
          </w:tcPr>
          <w:p w14:paraId="3F9D7184" w14:textId="77777777" w:rsidR="00807428" w:rsidRPr="0025020B" w:rsidRDefault="00807428" w:rsidP="00363DD6">
            <w:pPr>
              <w:rPr>
                <w:color w:val="000000"/>
                <w:sz w:val="21"/>
                <w:szCs w:val="21"/>
              </w:rPr>
            </w:pPr>
            <w:r w:rsidRPr="0025020B">
              <w:rPr>
                <w:color w:val="000000"/>
                <w:sz w:val="21"/>
                <w:szCs w:val="21"/>
              </w:rPr>
              <w:t>Constant</w:t>
            </w:r>
          </w:p>
        </w:tc>
        <w:tc>
          <w:tcPr>
            <w:tcW w:w="1427" w:type="dxa"/>
            <w:tcBorders>
              <w:top w:val="nil"/>
              <w:left w:val="nil"/>
              <w:bottom w:val="nil"/>
              <w:right w:val="nil"/>
            </w:tcBorders>
            <w:shd w:val="clear" w:color="000000" w:fill="FFFFFF"/>
            <w:vAlign w:val="center"/>
            <w:hideMark/>
          </w:tcPr>
          <w:p w14:paraId="1618BD7B" w14:textId="77777777" w:rsidR="00807428" w:rsidRPr="0025020B" w:rsidRDefault="00807428" w:rsidP="00363DD6">
            <w:pPr>
              <w:jc w:val="center"/>
              <w:rPr>
                <w:sz w:val="21"/>
                <w:szCs w:val="21"/>
              </w:rPr>
            </w:pPr>
            <w:r w:rsidRPr="0025020B">
              <w:rPr>
                <w:sz w:val="21"/>
                <w:szCs w:val="21"/>
              </w:rPr>
              <w:t>0.796</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E29DA12" w14:textId="77777777" w:rsidR="00807428" w:rsidRPr="0025020B" w:rsidRDefault="00807428" w:rsidP="00363DD6">
            <w:pPr>
              <w:jc w:val="center"/>
              <w:rPr>
                <w:sz w:val="21"/>
                <w:szCs w:val="21"/>
              </w:rPr>
            </w:pPr>
            <w:r w:rsidRPr="0025020B">
              <w:rPr>
                <w:sz w:val="21"/>
                <w:szCs w:val="21"/>
              </w:rPr>
              <w:t>0.455</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69FBBD5" w14:textId="77777777" w:rsidR="00807428" w:rsidRPr="0025020B" w:rsidRDefault="00807428" w:rsidP="00363DD6">
            <w:pPr>
              <w:jc w:val="center"/>
              <w:rPr>
                <w:sz w:val="21"/>
                <w:szCs w:val="21"/>
              </w:rPr>
            </w:pPr>
            <w:r w:rsidRPr="0025020B">
              <w:rPr>
                <w:sz w:val="21"/>
                <w:szCs w:val="21"/>
              </w:rPr>
              <w:t>0.424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28F5A54F" w14:textId="77777777" w:rsidR="00807428" w:rsidRPr="0025020B" w:rsidRDefault="00807428" w:rsidP="00363DD6">
            <w:pPr>
              <w:jc w:val="center"/>
              <w:rPr>
                <w:sz w:val="21"/>
                <w:szCs w:val="21"/>
              </w:rPr>
            </w:pPr>
            <w:r w:rsidRPr="0025020B">
              <w:rPr>
                <w:sz w:val="21"/>
                <w:szCs w:val="21"/>
              </w:rPr>
              <w:t> </w:t>
            </w:r>
          </w:p>
        </w:tc>
      </w:tr>
      <w:tr w:rsidR="00807428" w:rsidRPr="0025020B" w14:paraId="50C7810A" w14:textId="77777777" w:rsidTr="001B1DE8">
        <w:trPr>
          <w:trHeight w:val="20"/>
        </w:trPr>
        <w:tc>
          <w:tcPr>
            <w:tcW w:w="3380" w:type="dxa"/>
            <w:tcBorders>
              <w:top w:val="nil"/>
              <w:left w:val="nil"/>
              <w:bottom w:val="single" w:sz="8" w:space="0" w:color="auto"/>
              <w:right w:val="nil"/>
            </w:tcBorders>
            <w:shd w:val="clear" w:color="000000" w:fill="FFFFFF"/>
            <w:vAlign w:val="center"/>
            <w:hideMark/>
          </w:tcPr>
          <w:p w14:paraId="39D8149A" w14:textId="77777777" w:rsidR="00807428" w:rsidRPr="0025020B" w:rsidRDefault="00807428" w:rsidP="00363DD6">
            <w:pPr>
              <w:jc w:val="center"/>
              <w:rPr>
                <w:sz w:val="21"/>
                <w:szCs w:val="21"/>
              </w:rPr>
            </w:pPr>
            <w:r w:rsidRPr="0025020B">
              <w:rPr>
                <w:sz w:val="21"/>
                <w:szCs w:val="21"/>
              </w:rPr>
              <w:t> </w:t>
            </w:r>
          </w:p>
        </w:tc>
        <w:tc>
          <w:tcPr>
            <w:tcW w:w="1427" w:type="dxa"/>
            <w:tcBorders>
              <w:top w:val="nil"/>
              <w:left w:val="nil"/>
              <w:bottom w:val="single" w:sz="8" w:space="0" w:color="auto"/>
              <w:right w:val="nil"/>
            </w:tcBorders>
            <w:shd w:val="clear" w:color="000000" w:fill="FFFFFF"/>
            <w:vAlign w:val="center"/>
            <w:hideMark/>
          </w:tcPr>
          <w:p w14:paraId="319B287F" w14:textId="77777777" w:rsidR="00807428" w:rsidRPr="0025020B" w:rsidRDefault="00807428" w:rsidP="00363DD6">
            <w:pPr>
              <w:jc w:val="center"/>
              <w:rPr>
                <w:sz w:val="21"/>
                <w:szCs w:val="21"/>
              </w:rPr>
            </w:pPr>
            <w:r w:rsidRPr="0025020B">
              <w:rPr>
                <w:sz w:val="21"/>
                <w:szCs w:val="21"/>
              </w:rPr>
              <w:t>(0.00)</w:t>
            </w:r>
          </w:p>
        </w:tc>
        <w:tc>
          <w:tcPr>
            <w:tcW w:w="1428" w:type="dxa"/>
            <w:tcBorders>
              <w:top w:val="nil"/>
              <w:left w:val="nil"/>
              <w:bottom w:val="single" w:sz="8" w:space="0" w:color="auto"/>
              <w:right w:val="nil"/>
            </w:tcBorders>
            <w:shd w:val="clear" w:color="000000" w:fill="FFFFFF"/>
            <w:vAlign w:val="center"/>
            <w:hideMark/>
          </w:tcPr>
          <w:p w14:paraId="286D4DBB" w14:textId="77777777" w:rsidR="00807428" w:rsidRPr="0025020B" w:rsidRDefault="00807428" w:rsidP="00363DD6">
            <w:pPr>
              <w:jc w:val="center"/>
              <w:rPr>
                <w:sz w:val="21"/>
                <w:szCs w:val="21"/>
              </w:rPr>
            </w:pPr>
            <w:r w:rsidRPr="0025020B">
              <w:rPr>
                <w:sz w:val="21"/>
                <w:szCs w:val="21"/>
              </w:rPr>
              <w:t>(0.04)</w:t>
            </w:r>
          </w:p>
        </w:tc>
        <w:tc>
          <w:tcPr>
            <w:tcW w:w="1427" w:type="dxa"/>
            <w:tcBorders>
              <w:top w:val="nil"/>
              <w:left w:val="nil"/>
              <w:bottom w:val="single" w:sz="8" w:space="0" w:color="auto"/>
              <w:right w:val="nil"/>
            </w:tcBorders>
            <w:shd w:val="clear" w:color="000000" w:fill="FFFFFF"/>
            <w:vAlign w:val="center"/>
            <w:hideMark/>
          </w:tcPr>
          <w:p w14:paraId="044BBE41" w14:textId="77777777" w:rsidR="00807428" w:rsidRPr="0025020B" w:rsidRDefault="00807428" w:rsidP="00363DD6">
            <w:pPr>
              <w:jc w:val="center"/>
              <w:rPr>
                <w:sz w:val="21"/>
                <w:szCs w:val="21"/>
              </w:rPr>
            </w:pPr>
            <w:r w:rsidRPr="0025020B">
              <w:rPr>
                <w:sz w:val="21"/>
                <w:szCs w:val="21"/>
              </w:rPr>
              <w:t>(0.04)</w:t>
            </w:r>
          </w:p>
        </w:tc>
        <w:tc>
          <w:tcPr>
            <w:tcW w:w="1428" w:type="dxa"/>
            <w:tcBorders>
              <w:top w:val="nil"/>
              <w:left w:val="nil"/>
              <w:bottom w:val="single" w:sz="8" w:space="0" w:color="auto"/>
              <w:right w:val="nil"/>
            </w:tcBorders>
            <w:shd w:val="clear" w:color="000000" w:fill="FFFFFF"/>
            <w:vAlign w:val="center"/>
            <w:hideMark/>
          </w:tcPr>
          <w:p w14:paraId="68CE6361" w14:textId="77777777" w:rsidR="00807428" w:rsidRPr="0025020B" w:rsidRDefault="00807428" w:rsidP="00363DD6">
            <w:pPr>
              <w:jc w:val="center"/>
              <w:rPr>
                <w:sz w:val="21"/>
                <w:szCs w:val="21"/>
              </w:rPr>
            </w:pPr>
            <w:r w:rsidRPr="0025020B">
              <w:rPr>
                <w:sz w:val="21"/>
                <w:szCs w:val="21"/>
              </w:rPr>
              <w:t> </w:t>
            </w:r>
          </w:p>
        </w:tc>
      </w:tr>
      <w:tr w:rsidR="00807428" w:rsidRPr="0025020B" w14:paraId="470564AB" w14:textId="77777777" w:rsidTr="001B1DE8">
        <w:trPr>
          <w:trHeight w:val="277"/>
        </w:trPr>
        <w:tc>
          <w:tcPr>
            <w:tcW w:w="3380" w:type="dxa"/>
            <w:tcBorders>
              <w:top w:val="nil"/>
              <w:left w:val="nil"/>
              <w:bottom w:val="nil"/>
              <w:right w:val="nil"/>
            </w:tcBorders>
            <w:shd w:val="clear" w:color="000000" w:fill="FFFFFF"/>
            <w:vAlign w:val="center"/>
            <w:hideMark/>
          </w:tcPr>
          <w:p w14:paraId="10AE3FB1" w14:textId="77777777" w:rsidR="00807428" w:rsidRPr="0025020B" w:rsidRDefault="00807428" w:rsidP="00363DD6">
            <w:pPr>
              <w:rPr>
                <w:color w:val="000000"/>
                <w:sz w:val="21"/>
                <w:szCs w:val="21"/>
              </w:rPr>
            </w:pPr>
            <w:r w:rsidRPr="0025020B">
              <w:rPr>
                <w:color w:val="000000"/>
                <w:sz w:val="21"/>
                <w:szCs w:val="21"/>
              </w:rPr>
              <w:t>Observations</w:t>
            </w:r>
          </w:p>
        </w:tc>
        <w:tc>
          <w:tcPr>
            <w:tcW w:w="1427" w:type="dxa"/>
            <w:tcBorders>
              <w:top w:val="nil"/>
              <w:left w:val="nil"/>
              <w:bottom w:val="nil"/>
              <w:right w:val="nil"/>
            </w:tcBorders>
            <w:shd w:val="clear" w:color="000000" w:fill="FFFFFF"/>
            <w:vAlign w:val="center"/>
            <w:hideMark/>
          </w:tcPr>
          <w:p w14:paraId="07CE21BA" w14:textId="77777777" w:rsidR="00807428" w:rsidRPr="0025020B" w:rsidRDefault="00807428" w:rsidP="00363DD6">
            <w:pPr>
              <w:jc w:val="center"/>
              <w:rPr>
                <w:sz w:val="21"/>
                <w:szCs w:val="21"/>
              </w:rPr>
            </w:pPr>
            <w:r w:rsidRPr="0025020B">
              <w:rPr>
                <w:sz w:val="21"/>
                <w:szCs w:val="21"/>
              </w:rPr>
              <w:t>71,232</w:t>
            </w:r>
          </w:p>
        </w:tc>
        <w:tc>
          <w:tcPr>
            <w:tcW w:w="1428" w:type="dxa"/>
            <w:tcBorders>
              <w:top w:val="nil"/>
              <w:left w:val="nil"/>
              <w:bottom w:val="nil"/>
              <w:right w:val="nil"/>
            </w:tcBorders>
            <w:shd w:val="clear" w:color="000000" w:fill="FFFFFF"/>
            <w:vAlign w:val="center"/>
            <w:hideMark/>
          </w:tcPr>
          <w:p w14:paraId="09F0876F" w14:textId="77777777" w:rsidR="00807428" w:rsidRPr="0025020B" w:rsidRDefault="00807428" w:rsidP="00363DD6">
            <w:pPr>
              <w:jc w:val="center"/>
              <w:rPr>
                <w:sz w:val="21"/>
                <w:szCs w:val="21"/>
              </w:rPr>
            </w:pPr>
            <w:r w:rsidRPr="0025020B">
              <w:rPr>
                <w:sz w:val="21"/>
                <w:szCs w:val="21"/>
              </w:rPr>
              <w:t>68,139</w:t>
            </w:r>
          </w:p>
        </w:tc>
        <w:tc>
          <w:tcPr>
            <w:tcW w:w="1427" w:type="dxa"/>
            <w:tcBorders>
              <w:top w:val="nil"/>
              <w:left w:val="nil"/>
              <w:bottom w:val="nil"/>
              <w:right w:val="nil"/>
            </w:tcBorders>
            <w:shd w:val="clear" w:color="000000" w:fill="FFFFFF"/>
            <w:vAlign w:val="center"/>
            <w:hideMark/>
          </w:tcPr>
          <w:p w14:paraId="6B885CE7" w14:textId="77777777" w:rsidR="00807428" w:rsidRPr="0025020B" w:rsidRDefault="00807428" w:rsidP="00363DD6">
            <w:pPr>
              <w:jc w:val="center"/>
              <w:rPr>
                <w:sz w:val="21"/>
                <w:szCs w:val="21"/>
              </w:rPr>
            </w:pPr>
            <w:r w:rsidRPr="0025020B">
              <w:rPr>
                <w:sz w:val="21"/>
                <w:szCs w:val="21"/>
              </w:rPr>
              <w:t>68,139</w:t>
            </w:r>
          </w:p>
        </w:tc>
        <w:tc>
          <w:tcPr>
            <w:tcW w:w="1428" w:type="dxa"/>
            <w:tcBorders>
              <w:top w:val="nil"/>
              <w:left w:val="nil"/>
              <w:bottom w:val="nil"/>
              <w:right w:val="nil"/>
            </w:tcBorders>
            <w:shd w:val="clear" w:color="000000" w:fill="FFFFFF"/>
            <w:vAlign w:val="center"/>
            <w:hideMark/>
          </w:tcPr>
          <w:p w14:paraId="6960F0DE" w14:textId="77777777" w:rsidR="00807428" w:rsidRPr="0025020B" w:rsidRDefault="00807428" w:rsidP="00363DD6">
            <w:pPr>
              <w:jc w:val="center"/>
              <w:rPr>
                <w:sz w:val="21"/>
                <w:szCs w:val="21"/>
              </w:rPr>
            </w:pPr>
            <w:r w:rsidRPr="0025020B">
              <w:rPr>
                <w:sz w:val="21"/>
                <w:szCs w:val="21"/>
              </w:rPr>
              <w:t>68,139</w:t>
            </w:r>
          </w:p>
        </w:tc>
      </w:tr>
      <w:tr w:rsidR="00807428" w:rsidRPr="0025020B" w14:paraId="1E0C702D" w14:textId="77777777" w:rsidTr="001B1DE8">
        <w:trPr>
          <w:trHeight w:val="20"/>
        </w:trPr>
        <w:tc>
          <w:tcPr>
            <w:tcW w:w="3380" w:type="dxa"/>
            <w:tcBorders>
              <w:top w:val="nil"/>
              <w:left w:val="nil"/>
              <w:bottom w:val="nil"/>
              <w:right w:val="nil"/>
            </w:tcBorders>
            <w:shd w:val="clear" w:color="000000" w:fill="FFFFFF"/>
            <w:vAlign w:val="center"/>
            <w:hideMark/>
          </w:tcPr>
          <w:p w14:paraId="34F3BCCD" w14:textId="77777777" w:rsidR="00807428" w:rsidRPr="0025020B" w:rsidRDefault="00807428" w:rsidP="00363DD6">
            <w:pPr>
              <w:rPr>
                <w:color w:val="000000"/>
                <w:sz w:val="21"/>
                <w:szCs w:val="21"/>
              </w:rPr>
            </w:pPr>
            <w:r w:rsidRPr="0025020B">
              <w:rPr>
                <w:color w:val="000000"/>
                <w:sz w:val="21"/>
                <w:szCs w:val="21"/>
              </w:rPr>
              <w:t>R</w:t>
            </w:r>
            <w:r w:rsidRPr="0025020B">
              <w:rPr>
                <w:color w:val="000000"/>
                <w:sz w:val="21"/>
                <w:szCs w:val="21"/>
                <w:vertAlign w:val="superscript"/>
              </w:rPr>
              <w:t>2</w:t>
            </w:r>
          </w:p>
        </w:tc>
        <w:tc>
          <w:tcPr>
            <w:tcW w:w="1427" w:type="dxa"/>
            <w:tcBorders>
              <w:top w:val="nil"/>
              <w:left w:val="nil"/>
              <w:bottom w:val="nil"/>
              <w:right w:val="nil"/>
            </w:tcBorders>
            <w:shd w:val="clear" w:color="000000" w:fill="FFFFFF"/>
            <w:vAlign w:val="center"/>
          </w:tcPr>
          <w:p w14:paraId="059EE5A9" w14:textId="77777777" w:rsidR="00807428" w:rsidRPr="0025020B" w:rsidRDefault="00807428" w:rsidP="00363DD6">
            <w:pPr>
              <w:jc w:val="center"/>
              <w:rPr>
                <w:sz w:val="21"/>
                <w:szCs w:val="21"/>
              </w:rPr>
            </w:pPr>
          </w:p>
        </w:tc>
        <w:tc>
          <w:tcPr>
            <w:tcW w:w="1428" w:type="dxa"/>
            <w:tcBorders>
              <w:top w:val="nil"/>
              <w:left w:val="nil"/>
              <w:bottom w:val="nil"/>
              <w:right w:val="nil"/>
            </w:tcBorders>
            <w:shd w:val="clear" w:color="000000" w:fill="FFFFFF"/>
            <w:vAlign w:val="center"/>
            <w:hideMark/>
          </w:tcPr>
          <w:p w14:paraId="3BDD2810" w14:textId="77777777" w:rsidR="00807428" w:rsidRPr="0025020B" w:rsidRDefault="00807428" w:rsidP="00363DD6">
            <w:pPr>
              <w:jc w:val="center"/>
              <w:rPr>
                <w:sz w:val="21"/>
                <w:szCs w:val="21"/>
              </w:rPr>
            </w:pPr>
            <w:r w:rsidRPr="0025020B">
              <w:rPr>
                <w:sz w:val="21"/>
                <w:szCs w:val="21"/>
              </w:rPr>
              <w:t xml:space="preserve">0.70 </w:t>
            </w:r>
          </w:p>
        </w:tc>
        <w:tc>
          <w:tcPr>
            <w:tcW w:w="1427" w:type="dxa"/>
            <w:tcBorders>
              <w:top w:val="nil"/>
              <w:left w:val="nil"/>
              <w:bottom w:val="nil"/>
              <w:right w:val="nil"/>
            </w:tcBorders>
            <w:shd w:val="clear" w:color="000000" w:fill="FFFFFF"/>
            <w:vAlign w:val="center"/>
            <w:hideMark/>
          </w:tcPr>
          <w:p w14:paraId="2E56B2F9" w14:textId="77777777" w:rsidR="00807428" w:rsidRPr="0025020B" w:rsidRDefault="00807428" w:rsidP="00363DD6">
            <w:pPr>
              <w:jc w:val="center"/>
              <w:rPr>
                <w:sz w:val="21"/>
                <w:szCs w:val="21"/>
              </w:rPr>
            </w:pPr>
            <w:r w:rsidRPr="0025020B">
              <w:rPr>
                <w:sz w:val="21"/>
                <w:szCs w:val="21"/>
              </w:rPr>
              <w:t xml:space="preserve">0.71 </w:t>
            </w:r>
          </w:p>
        </w:tc>
        <w:tc>
          <w:tcPr>
            <w:tcW w:w="1428" w:type="dxa"/>
            <w:tcBorders>
              <w:top w:val="nil"/>
              <w:left w:val="nil"/>
              <w:bottom w:val="nil"/>
              <w:right w:val="nil"/>
            </w:tcBorders>
            <w:shd w:val="clear" w:color="000000" w:fill="FFFFFF"/>
            <w:vAlign w:val="center"/>
            <w:hideMark/>
          </w:tcPr>
          <w:p w14:paraId="4F1CC708" w14:textId="77777777" w:rsidR="00807428" w:rsidRPr="0025020B" w:rsidRDefault="00807428" w:rsidP="00363DD6">
            <w:pPr>
              <w:jc w:val="center"/>
              <w:rPr>
                <w:sz w:val="21"/>
                <w:szCs w:val="21"/>
              </w:rPr>
            </w:pPr>
            <w:r w:rsidRPr="0025020B">
              <w:rPr>
                <w:sz w:val="21"/>
                <w:szCs w:val="21"/>
              </w:rPr>
              <w:t xml:space="preserve">0.61 </w:t>
            </w:r>
          </w:p>
        </w:tc>
      </w:tr>
      <w:tr w:rsidR="00807428" w:rsidRPr="0025020B" w14:paraId="28FA7C41" w14:textId="77777777" w:rsidTr="001B1DE8">
        <w:trPr>
          <w:trHeight w:val="20"/>
        </w:trPr>
        <w:tc>
          <w:tcPr>
            <w:tcW w:w="3380" w:type="dxa"/>
            <w:tcBorders>
              <w:top w:val="nil"/>
              <w:left w:val="nil"/>
              <w:bottom w:val="single" w:sz="12" w:space="0" w:color="000000"/>
              <w:right w:val="nil"/>
            </w:tcBorders>
            <w:shd w:val="clear" w:color="000000" w:fill="FFFFFF"/>
            <w:vAlign w:val="center"/>
            <w:hideMark/>
          </w:tcPr>
          <w:p w14:paraId="5E3821E6" w14:textId="77777777" w:rsidR="00807428" w:rsidRPr="0025020B" w:rsidRDefault="00807428" w:rsidP="00363DD6">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1427" w:type="dxa"/>
            <w:tcBorders>
              <w:top w:val="nil"/>
              <w:left w:val="nil"/>
              <w:bottom w:val="single" w:sz="12" w:space="0" w:color="000000"/>
              <w:right w:val="nil"/>
            </w:tcBorders>
            <w:shd w:val="clear" w:color="000000" w:fill="FFFFFF"/>
            <w:vAlign w:val="center"/>
          </w:tcPr>
          <w:p w14:paraId="2A794D32" w14:textId="77777777" w:rsidR="00807428" w:rsidRPr="0025020B" w:rsidRDefault="00807428" w:rsidP="00363DD6">
            <w:pPr>
              <w:jc w:val="center"/>
              <w:rPr>
                <w:sz w:val="21"/>
                <w:szCs w:val="21"/>
              </w:rPr>
            </w:pPr>
          </w:p>
        </w:tc>
        <w:tc>
          <w:tcPr>
            <w:tcW w:w="1428" w:type="dxa"/>
            <w:tcBorders>
              <w:top w:val="nil"/>
              <w:left w:val="nil"/>
              <w:bottom w:val="single" w:sz="12" w:space="0" w:color="000000"/>
              <w:right w:val="nil"/>
            </w:tcBorders>
            <w:shd w:val="clear" w:color="000000" w:fill="FFFFFF"/>
            <w:vAlign w:val="center"/>
            <w:hideMark/>
          </w:tcPr>
          <w:p w14:paraId="0A934C70" w14:textId="77777777" w:rsidR="00807428" w:rsidRPr="0025020B" w:rsidRDefault="00807428" w:rsidP="00363DD6">
            <w:pPr>
              <w:jc w:val="center"/>
              <w:rPr>
                <w:sz w:val="21"/>
                <w:szCs w:val="21"/>
              </w:rPr>
            </w:pPr>
            <w:r w:rsidRPr="0025020B">
              <w:rPr>
                <w:sz w:val="21"/>
                <w:szCs w:val="21"/>
              </w:rPr>
              <w:t xml:space="preserve">0.70 </w:t>
            </w:r>
          </w:p>
        </w:tc>
        <w:tc>
          <w:tcPr>
            <w:tcW w:w="1427" w:type="dxa"/>
            <w:tcBorders>
              <w:top w:val="nil"/>
              <w:left w:val="nil"/>
              <w:bottom w:val="single" w:sz="12" w:space="0" w:color="000000"/>
              <w:right w:val="nil"/>
            </w:tcBorders>
            <w:shd w:val="clear" w:color="000000" w:fill="FFFFFF"/>
            <w:vAlign w:val="center"/>
            <w:hideMark/>
          </w:tcPr>
          <w:p w14:paraId="4FE80CEC" w14:textId="77777777" w:rsidR="00807428" w:rsidRPr="0025020B" w:rsidRDefault="00807428" w:rsidP="00363DD6">
            <w:pPr>
              <w:jc w:val="center"/>
              <w:rPr>
                <w:sz w:val="21"/>
                <w:szCs w:val="21"/>
              </w:rPr>
            </w:pPr>
            <w:r w:rsidRPr="0025020B">
              <w:rPr>
                <w:sz w:val="21"/>
                <w:szCs w:val="21"/>
              </w:rPr>
              <w:t xml:space="preserve">0.71 </w:t>
            </w:r>
          </w:p>
        </w:tc>
        <w:tc>
          <w:tcPr>
            <w:tcW w:w="1428" w:type="dxa"/>
            <w:tcBorders>
              <w:top w:val="nil"/>
              <w:left w:val="nil"/>
              <w:bottom w:val="single" w:sz="12" w:space="0" w:color="000000"/>
              <w:right w:val="nil"/>
            </w:tcBorders>
            <w:shd w:val="clear" w:color="000000" w:fill="FFFFFF"/>
            <w:vAlign w:val="center"/>
            <w:hideMark/>
          </w:tcPr>
          <w:p w14:paraId="1444A855" w14:textId="77777777" w:rsidR="00807428" w:rsidRPr="0025020B" w:rsidRDefault="00807428" w:rsidP="00363DD6">
            <w:pPr>
              <w:jc w:val="center"/>
              <w:rPr>
                <w:sz w:val="21"/>
                <w:szCs w:val="21"/>
              </w:rPr>
            </w:pPr>
            <w:r w:rsidRPr="0025020B">
              <w:rPr>
                <w:sz w:val="21"/>
                <w:szCs w:val="21"/>
              </w:rPr>
              <w:t xml:space="preserve">0.59 </w:t>
            </w:r>
          </w:p>
        </w:tc>
      </w:tr>
    </w:tbl>
    <w:p w14:paraId="2C7D8602" w14:textId="77777777" w:rsidR="00807428" w:rsidRDefault="00807428" w:rsidP="00807428">
      <w:pPr>
        <w:rPr>
          <w:sz w:val="22"/>
        </w:rPr>
      </w:pPr>
      <w:r>
        <w:rPr>
          <w:sz w:val="22"/>
        </w:rPr>
        <w:lastRenderedPageBreak/>
        <w:t xml:space="preserve">The table on the previous page presents OLS estimates for 4 models of rate spread. Table 1 includes descriptive statistics for all variables seen above. Column (1) solely includes the binary variable of whether over 50% of the applicants are black. Column (2) adds borrower and loan characteristics. Column (3) additionally includes tract characteristics. Column (4) includes the previous variables and adds fixed effects on county with standard errors clustered at the county level.  Standard errors are shown in parentheses. </w:t>
      </w:r>
    </w:p>
    <w:p w14:paraId="668ABDA3" w14:textId="77777777" w:rsidR="00807428" w:rsidRPr="003F7DCE" w:rsidRDefault="00807428" w:rsidP="00807428">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7399F7EB" w14:textId="77777777" w:rsidR="00F325F2" w:rsidRDefault="00F325F2" w:rsidP="00F325F2">
      <w:pPr>
        <w:spacing w:line="480" w:lineRule="auto"/>
      </w:pPr>
      <w:r>
        <w:tab/>
        <w:t>As seen in Table 2, the rate gap between predominantly and non-predominantly black neighborhoods is 52.5 basis points. This constitutes a large differential in mortgage payments and interest expense for black households, constraining budgets and eroding long term wealth accumulation. Assuming the average loan size and interest rate from Table 1, an increase in rate spreads by 52.5 basis points corresponds to approximately $950 of higher interest payments a year for residents of predominately black neighborhoods.</w:t>
      </w:r>
    </w:p>
    <w:p w14:paraId="3E374CDB" w14:textId="1564732B" w:rsidR="00687B14" w:rsidRDefault="00687B14" w:rsidP="00687B14">
      <w:pPr>
        <w:spacing w:line="480" w:lineRule="auto"/>
        <w:ind w:firstLine="720"/>
      </w:pPr>
      <w:r>
        <w:t xml:space="preserve">Of this gap, approximately 60% is attributable to statistical discrimination on the weaker borrower characteristics of black neighborhoods.  A further 7% is attributable to tract-level characteristics and 11% to geographical characteristics. This leaves 11.8 basis points of rate differential that </w:t>
      </w:r>
      <w:r w:rsidR="00885F6E">
        <w:t>this study</w:t>
      </w:r>
      <w:r>
        <w:t xml:space="preserve"> attribut</w:t>
      </w:r>
      <w:r w:rsidR="00885F6E">
        <w:t>es</w:t>
      </w:r>
      <w:bookmarkStart w:id="0" w:name="_GoBack"/>
      <w:bookmarkEnd w:id="0"/>
      <w:r>
        <w:t xml:space="preserve"> to discrimination against black neighborhoods. With an average rate spread of </w:t>
      </w:r>
      <w:r w:rsidRPr="00FC0A33">
        <w:t>82 basis points</w:t>
      </w:r>
      <w:r>
        <w:t xml:space="preserve"> across tracts</w:t>
      </w:r>
      <w:r w:rsidRPr="00FC0A33">
        <w:t>,</w:t>
      </w:r>
      <w:r>
        <w:t xml:space="preserve"> 11.8 basis points of pricing discrimination corresponds to 14.3% higher rate spreads for predominately black neighborhoods. Notably, this rate premium is paid by all borrowers in these tracts. </w:t>
      </w:r>
    </w:p>
    <w:p w14:paraId="77D8BDDB" w14:textId="715B619A" w:rsidR="00B57FAF" w:rsidRDefault="00AE6570" w:rsidP="00B57FAF">
      <w:pPr>
        <w:spacing w:line="480" w:lineRule="auto"/>
        <w:ind w:firstLine="720"/>
      </w:pPr>
      <w:r>
        <w:t>Further</w:t>
      </w:r>
      <w:r w:rsidR="00B57FAF">
        <w:t>, the coefficients of all controlling factors match the expected direction discussed in the Empirical Specification section. In line with previous research, the coefficient on female is positive</w:t>
      </w:r>
      <w:r w:rsidR="002C74A8">
        <w:t>,</w:t>
      </w:r>
      <w:r w:rsidR="00B57FAF">
        <w:t xml:space="preserve"> indicating communities with larger female applicant pools face higher</w:t>
      </w:r>
      <w:r w:rsidR="002C74A8">
        <w:t>-</w:t>
      </w:r>
      <w:r w:rsidR="00B57FAF">
        <w:t>priced mortgages (Cheng et al. 2011). The coefficients on Hispanic and Native American variables are positive as well</w:t>
      </w:r>
      <w:r w:rsidR="002C74A8">
        <w:t>,</w:t>
      </w:r>
      <w:r w:rsidR="00B57FAF">
        <w:t xml:space="preserve"> confirming results from previous studies showing these populations face pricing discrimination (Cheng et al. 2015; Bayer et al. 2018; </w:t>
      </w:r>
      <w:r w:rsidR="00B57FAF" w:rsidRPr="0078136A">
        <w:t>Delis &amp; Papadopoulos 2019</w:t>
      </w:r>
      <w:r w:rsidR="00B57FAF">
        <w:t xml:space="preserve">).  Lastly, the coefficient on credit denials, the novel variable to measure credit strength across tracts, is </w:t>
      </w:r>
      <w:r w:rsidR="00B57FAF">
        <w:lastRenderedPageBreak/>
        <w:t>positive and significant. This suggests that the credit denial variable is a valid, though imperfect, means of capturing credit strength in the estimation of pricing discrimination. Together, these results</w:t>
      </w:r>
      <w:r w:rsidR="00B57FAF" w:rsidRPr="00871D53">
        <w:t xml:space="preserve"> </w:t>
      </w:r>
      <w:r w:rsidR="00B57FAF">
        <w:t>suggest the model is well specified.</w:t>
      </w:r>
    </w:p>
    <w:p w14:paraId="1517FF52" w14:textId="737322D2" w:rsidR="00D80168" w:rsidRDefault="00687B14" w:rsidP="00687B14">
      <w:pPr>
        <w:spacing w:line="480" w:lineRule="auto"/>
        <w:ind w:firstLine="720"/>
      </w:pPr>
      <w:r>
        <w:t xml:space="preserve">The estimate of pricing discrimination derived in this study for predominantly black communities is </w:t>
      </w:r>
      <w:r w:rsidR="00AE6570">
        <w:t xml:space="preserve">also </w:t>
      </w:r>
      <w:r>
        <w:t xml:space="preserve">in line with estimates of pricing discrimination found in previous literature, which have estimated pricing discrimination to range between 5 and 25 basis points for black borrowers (Ghent et al. 2014; Cheng et al. 2015). </w:t>
      </w:r>
      <w:r w:rsidR="00807428">
        <w:t xml:space="preserve">However, with the more comprehensive nature of the data used in this study, these findings can be extended to the nation as a whole in contrast to the localized interpretations required of matched datasets. </w:t>
      </w:r>
    </w:p>
    <w:p w14:paraId="5B3FCC76" w14:textId="1F6587D0" w:rsidR="00807428" w:rsidRPr="007E3E5C" w:rsidRDefault="00807428" w:rsidP="00687B14">
      <w:pPr>
        <w:spacing w:line="480" w:lineRule="auto"/>
        <w:ind w:firstLine="720"/>
      </w:pPr>
      <w:r>
        <w:t>Additionally, with the exclusion of rate spread from past HMDA datasets, much of the past literature has focused on the incidence of high-cost loans in contrast to the more granular price differences found in this study (</w:t>
      </w:r>
      <w:proofErr w:type="spellStart"/>
      <w:r>
        <w:t>DeLoughy</w:t>
      </w:r>
      <w:proofErr w:type="spellEnd"/>
      <w:r>
        <w:t xml:space="preserve"> 2012; Bayer et al. 2018). The availability of rate spread in place of the binary incidence of a high-cost loan allows for a deeper understanding of the discrimination faced by all black applicants, not just the weaker borrowers who would be targets for high-cost loans. These results suggest it is not just the weakest black borrowers that face discrimination in the market through the higher incidence of high-cost loans, but that entire communities face higher rate spreads because of the proportion of black residents in that area.</w:t>
      </w:r>
    </w:p>
    <w:p w14:paraId="3993A11C" w14:textId="77777777" w:rsidR="00807428" w:rsidRDefault="00807428" w:rsidP="00807428">
      <w:pPr>
        <w:spacing w:line="480" w:lineRule="auto"/>
        <w:rPr>
          <w:i/>
        </w:rPr>
      </w:pPr>
      <w:r>
        <w:rPr>
          <w:i/>
        </w:rPr>
        <w:t>Lender</w:t>
      </w:r>
      <w:r w:rsidRPr="005D3A5B">
        <w:rPr>
          <w:i/>
        </w:rPr>
        <w:t xml:space="preserve"> Fixed Effects</w:t>
      </w:r>
    </w:p>
    <w:p w14:paraId="6F988BA1" w14:textId="77777777" w:rsidR="00807428" w:rsidRDefault="00807428" w:rsidP="00807428">
      <w:pPr>
        <w:spacing w:line="480" w:lineRule="auto"/>
      </w:pPr>
      <w:r>
        <w:tab/>
        <w:t xml:space="preserve">In order to account for the significant impact of shopping behavior and choice of lender shown by </w:t>
      </w:r>
      <w:proofErr w:type="spellStart"/>
      <w:r>
        <w:t>Bhutta</w:t>
      </w:r>
      <w:proofErr w:type="spellEnd"/>
      <w:r>
        <w:t xml:space="preserve"> and Ringo (2014) and Bayer et al. (2018), this section analyzes the effect of adding lender fixed effects to the models used in Table 2. These fixed effects account for the fact that black applicants are more likely to take out loans with higher cost lenders. This study also </w:t>
      </w:r>
      <w:r>
        <w:lastRenderedPageBreak/>
        <w:t xml:space="preserve">adds an additional interaction term to capture the potential for a lender’s impact on rate spreads to increase as their market share increases. </w:t>
      </w:r>
    </w:p>
    <w:p w14:paraId="4A31A53C" w14:textId="6567D38C" w:rsidR="00807428" w:rsidRPr="00211AB8" w:rsidRDefault="00807428" w:rsidP="00807428">
      <w:pPr>
        <w:spacing w:line="480" w:lineRule="auto"/>
      </w:pPr>
      <w:r>
        <w:tab/>
        <w:t xml:space="preserve">Specification </w:t>
      </w:r>
      <w:r w:rsidR="00363DD6">
        <w:t>five</w:t>
      </w:r>
      <w:r>
        <w:t xml:space="preserve">, which uses the same variables as specification </w:t>
      </w:r>
      <w:r w:rsidR="00363DD6">
        <w:t>three</w:t>
      </w:r>
      <w:r>
        <w:t xml:space="preserve"> and adds fixed effects on lender, can be represented by the equation:</w:t>
      </w:r>
      <m:oMath>
        <m:r>
          <m:rPr>
            <m:sty m:val="p"/>
          </m:rPr>
          <w:rPr>
            <w:rFonts w:ascii="Cambria Math" w:hAnsi="Cambria Math"/>
          </w:rPr>
          <w:br/>
        </m:r>
      </m:oMath>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i,s</m:t>
                  </m:r>
                </m:sub>
              </m:sSub>
              <m:r>
                <w:rPr>
                  <w:rFonts w:ascii="Cambria Math" w:hAnsi="Cambria Math"/>
                </w:rPr>
                <m:t>#</m:t>
              </m:r>
              <m:d>
                <m:dPr>
                  <m:ctrlPr>
                    <w:rPr>
                      <w:rFonts w:ascii="Cambria Math" w:hAnsi="Cambria Math"/>
                      <w:i/>
                    </w:rPr>
                  </m:ctrlPr>
                </m:dPr>
                <m:e>
                  <m:r>
                    <w:rPr>
                      <w:rFonts w:ascii="Cambria Math" w:hAnsi="Cambria Math"/>
                    </w:rPr>
                    <m:t>3</m:t>
                  </m:r>
                </m:e>
              </m:d>
            </m:e>
          </m:eqArr>
        </m:oMath>
      </m:oMathPara>
    </w:p>
    <w:p w14:paraId="6D9CD17A" w14:textId="0D2C1681" w:rsidR="00807428" w:rsidRDefault="00807428" w:rsidP="00807428">
      <w:pPr>
        <w:spacing w:line="480" w:lineRule="auto"/>
      </w:pPr>
      <w:r>
        <w:t xml:space="preserve">where y and </w:t>
      </w:r>
      <m:oMath>
        <m:r>
          <w:rPr>
            <w:rFonts w:ascii="Cambria Math" w:hAnsi="Cambria Math"/>
          </w:rPr>
          <m:t>X</m:t>
        </m:r>
      </m:oMath>
      <w:r>
        <w:t xml:space="preserve"> are the same as previous specifications, and </w:t>
      </w:r>
      <m:oMath>
        <m:r>
          <w:rPr>
            <w:rFonts w:ascii="Cambria Math" w:hAnsi="Cambria Math"/>
          </w:rPr>
          <m:t>l</m:t>
        </m:r>
      </m:oMath>
      <w:r>
        <w:t xml:space="preserve"> represents lender fixed effects. Specification </w:t>
      </w:r>
      <w:r w:rsidR="00363DD6">
        <w:t>six</w:t>
      </w:r>
      <w:r>
        <w:t>, which includes fixed effects on county and lender, can be represented by the equation:</w:t>
      </w:r>
    </w:p>
    <w:p w14:paraId="341D17A1" w14:textId="2BE4B040" w:rsidR="00807428" w:rsidRPr="00F3133C" w:rsidRDefault="00231D5C" w:rsidP="00807428">
      <w:pPr>
        <w:spacing w:line="48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i/>
                    </w:rPr>
                  </m:ctrlP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 xml:space="preserve">j </m:t>
                  </m:r>
                </m:sub>
              </m:sSub>
              <m:sSub>
                <m:sSubPr>
                  <m:ctrlPr>
                    <w:rPr>
                      <w:rFonts w:ascii="Cambria Math" w:hAnsi="Cambria Math"/>
                      <w:i/>
                    </w:rPr>
                  </m:ctrlPr>
                </m:sSubPr>
                <m:e>
                  <m:r>
                    <w:rPr>
                      <w:rFonts w:ascii="Cambria Math" w:hAnsi="Cambria Math"/>
                    </w:rPr>
                    <m:t>+ ϵ</m:t>
                  </m:r>
                </m:e>
                <m:sub>
                  <m:r>
                    <w:rPr>
                      <w:rFonts w:ascii="Cambria Math" w:hAnsi="Cambria Math"/>
                    </w:rPr>
                    <m:t>i,j,s</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6098C243" w14:textId="77777777" w:rsidR="00F3133C" w:rsidRPr="000B4D0F" w:rsidRDefault="00F3133C" w:rsidP="00F3133C">
      <w:pPr>
        <w:spacing w:line="480" w:lineRule="auto"/>
      </w:pPr>
      <w:r>
        <w:t xml:space="preserve">where </w:t>
      </w:r>
      <m:oMath>
        <m:r>
          <w:rPr>
            <w:rFonts w:ascii="Cambria Math" w:hAnsi="Cambria Math"/>
          </w:rPr>
          <m:t>y, X, w,</m:t>
        </m:r>
      </m:oMath>
      <w:r>
        <w:t xml:space="preserve"> and </w:t>
      </w:r>
      <m:oMath>
        <m:r>
          <w:rPr>
            <w:rFonts w:ascii="Cambria Math" w:hAnsi="Cambria Math"/>
          </w:rPr>
          <m:t>l</m:t>
        </m:r>
      </m:oMath>
      <w:r>
        <w:t xml:space="preserve"> are the same as previous specifications. Lastly, specification seven includes the interaction of </w:t>
      </w:r>
      <m:oMath>
        <m:r>
          <w:rPr>
            <w:rFonts w:ascii="Cambria Math" w:hAnsi="Cambria Math"/>
          </w:rPr>
          <m:t>l</m:t>
        </m:r>
      </m:oMath>
      <w:r>
        <w:t xml:space="preserve"> and </w:t>
      </w:r>
      <m:oMath>
        <m:r>
          <w:rPr>
            <w:rFonts w:ascii="Cambria Math" w:hAnsi="Cambria Math"/>
          </w:rPr>
          <m:t>m</m:t>
        </m:r>
      </m:oMath>
      <w:r>
        <w:t>, which represents the market share of the most prominent lender with the fixed effect of that lender. This allows the effects of lenders to be scaled by their penetration in a tract. This specification can be represented by the equation:</w:t>
      </w:r>
    </w:p>
    <w:p w14:paraId="5F61751B" w14:textId="77777777" w:rsidR="00F3133C" w:rsidRPr="0003729D" w:rsidRDefault="00231D5C" w:rsidP="00F3133C">
      <w:pPr>
        <w:spacing w:line="48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i/>
                    </w:rPr>
                  </m:ctrlP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w:rPr>
                      <w:rFonts w:ascii="Cambria Math" w:hAnsi="Cambria Math"/>
                    </w:rPr>
                    <m:t>+ ϵ</m:t>
                  </m:r>
                </m:e>
                <m:sub>
                  <m:r>
                    <w:rPr>
                      <w:rFonts w:ascii="Cambria Math" w:hAnsi="Cambria Math"/>
                    </w:rPr>
                    <m:t>i,j,s</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6729E709" w14:textId="77777777" w:rsidR="00F3133C" w:rsidRDefault="00F3133C" w:rsidP="00F3133C">
      <w:pPr>
        <w:spacing w:line="480" w:lineRule="auto"/>
        <w:ind w:firstLine="720"/>
      </w:pPr>
      <w:r w:rsidRPr="004D777B">
        <w:t xml:space="preserve">In contrast </w:t>
      </w:r>
      <w:r>
        <w:t xml:space="preserve">to </w:t>
      </w:r>
      <w:r w:rsidRPr="004D777B">
        <w:t>previous literature analyzing loan</w:t>
      </w:r>
      <w:r>
        <w:t>-</w:t>
      </w:r>
      <w:r w:rsidRPr="004D777B">
        <w:t xml:space="preserve">level data, </w:t>
      </w:r>
      <w:r>
        <w:t xml:space="preserve">including </w:t>
      </w:r>
      <w:r w:rsidRPr="004D777B">
        <w:t>lender fixed effects ha</w:t>
      </w:r>
      <w:r>
        <w:t>s</w:t>
      </w:r>
      <w:r w:rsidRPr="004D777B">
        <w:t xml:space="preserve"> a </w:t>
      </w:r>
      <w:r>
        <w:t>small</w:t>
      </w:r>
      <w:r w:rsidRPr="004D777B">
        <w:t xml:space="preserve"> impact </w:t>
      </w:r>
      <w:r>
        <w:t xml:space="preserve">on </w:t>
      </w:r>
      <w:r w:rsidRPr="004D777B">
        <w:t>rate spread differentials</w:t>
      </w:r>
      <w:r>
        <w:t xml:space="preserve"> in the model</w:t>
      </w:r>
      <w:r w:rsidRPr="004D777B">
        <w:t xml:space="preserve">. Including the interacted market share and lender fixed effects </w:t>
      </w:r>
      <w:r>
        <w:t>term</w:t>
      </w:r>
      <w:r w:rsidRPr="004D777B">
        <w:t xml:space="preserve"> only accounts for an additional .7 basis points </w:t>
      </w:r>
      <w:r>
        <w:t>in rate spreads</w:t>
      </w:r>
      <w:r w:rsidRPr="004D777B">
        <w:t>. In</w:t>
      </w:r>
      <w:r>
        <w:t xml:space="preserve"> </w:t>
      </w:r>
      <w:r w:rsidRPr="004D777B">
        <w:t xml:space="preserve">practice, .7 basis points has little economic impact indicating the inclusion of these effects are inconsequential to the model.  </w:t>
      </w:r>
    </w:p>
    <w:p w14:paraId="7F4A4DD4" w14:textId="4D9129DF" w:rsidR="00F3133C" w:rsidRDefault="00F3133C" w:rsidP="00F3133C">
      <w:pPr>
        <w:spacing w:line="480" w:lineRule="auto"/>
      </w:pPr>
    </w:p>
    <w:p w14:paraId="5500358A" w14:textId="77777777" w:rsidR="00F3133C" w:rsidRPr="007662E0" w:rsidRDefault="00F3133C" w:rsidP="00F3133C">
      <w:pPr>
        <w:spacing w:line="480" w:lineRule="auto"/>
      </w:pPr>
    </w:p>
    <w:p w14:paraId="5B203AF4" w14:textId="6B28EA54" w:rsidR="00807428" w:rsidRDefault="00807428" w:rsidP="00807428">
      <w:pPr>
        <w:rPr>
          <w:b/>
          <w:color w:val="000000"/>
          <w:sz w:val="22"/>
          <w:szCs w:val="21"/>
        </w:rPr>
      </w:pPr>
      <w:r w:rsidRPr="0025020B">
        <w:rPr>
          <w:b/>
          <w:color w:val="000000"/>
          <w:sz w:val="22"/>
          <w:szCs w:val="21"/>
        </w:rPr>
        <w:lastRenderedPageBreak/>
        <w:t xml:space="preserve">Table </w:t>
      </w:r>
      <w:r>
        <w:rPr>
          <w:b/>
          <w:color w:val="000000"/>
          <w:sz w:val="22"/>
          <w:szCs w:val="21"/>
        </w:rPr>
        <w:t>3</w:t>
      </w:r>
    </w:p>
    <w:p w14:paraId="7E8276B5" w14:textId="77777777" w:rsidR="00807428" w:rsidRPr="0025020B" w:rsidRDefault="00807428" w:rsidP="00807428">
      <w:pPr>
        <w:rPr>
          <w:b/>
          <w:color w:val="000000"/>
          <w:sz w:val="21"/>
          <w:szCs w:val="21"/>
        </w:rPr>
      </w:pPr>
      <w:r>
        <w:rPr>
          <w:b/>
          <w:color w:val="000000"/>
          <w:sz w:val="21"/>
          <w:szCs w:val="21"/>
        </w:rPr>
        <w:t>Regression models of rate spread on aggregated HMDA variables with fixed effects</w:t>
      </w:r>
    </w:p>
    <w:p w14:paraId="6E10F650" w14:textId="77777777" w:rsidR="00807428" w:rsidRDefault="00807428" w:rsidP="00807428">
      <w:r w:rsidRPr="0025020B">
        <w:rPr>
          <w:color w:val="000000"/>
          <w:sz w:val="21"/>
          <w:szCs w:val="21"/>
        </w:rPr>
        <w:t>Dependent variable: Rate Spread</w:t>
      </w:r>
    </w:p>
    <w:tbl>
      <w:tblPr>
        <w:tblW w:w="9090" w:type="dxa"/>
        <w:tblLayout w:type="fixed"/>
        <w:tblLook w:val="04A0" w:firstRow="1" w:lastRow="0" w:firstColumn="1" w:lastColumn="0" w:noHBand="0" w:noVBand="1"/>
      </w:tblPr>
      <w:tblGrid>
        <w:gridCol w:w="3380"/>
        <w:gridCol w:w="1427"/>
        <w:gridCol w:w="53"/>
        <w:gridCol w:w="1260"/>
        <w:gridCol w:w="115"/>
        <w:gridCol w:w="1427"/>
        <w:gridCol w:w="78"/>
        <w:gridCol w:w="1350"/>
      </w:tblGrid>
      <w:tr w:rsidR="00807428" w:rsidRPr="0025020B" w14:paraId="2ADE6FB2" w14:textId="77777777" w:rsidTr="00363DD6">
        <w:trPr>
          <w:trHeight w:val="20"/>
        </w:trPr>
        <w:tc>
          <w:tcPr>
            <w:tcW w:w="3380" w:type="dxa"/>
            <w:tcBorders>
              <w:top w:val="single" w:sz="12" w:space="0" w:color="auto"/>
              <w:left w:val="nil"/>
              <w:bottom w:val="nil"/>
              <w:right w:val="nil"/>
            </w:tcBorders>
            <w:shd w:val="clear" w:color="000000" w:fill="FFFFFF"/>
            <w:vAlign w:val="center"/>
            <w:hideMark/>
          </w:tcPr>
          <w:p w14:paraId="1BC63EF2" w14:textId="77777777" w:rsidR="00807428" w:rsidRPr="0025020B" w:rsidRDefault="00807428" w:rsidP="00363DD6">
            <w:pPr>
              <w:rPr>
                <w:color w:val="000000"/>
                <w:sz w:val="21"/>
                <w:szCs w:val="21"/>
              </w:rPr>
            </w:pPr>
            <w:r w:rsidRPr="0025020B">
              <w:rPr>
                <w:color w:val="000000"/>
                <w:sz w:val="21"/>
                <w:szCs w:val="21"/>
              </w:rPr>
              <w:t>Variables</w:t>
            </w:r>
          </w:p>
        </w:tc>
        <w:tc>
          <w:tcPr>
            <w:tcW w:w="1427" w:type="dxa"/>
            <w:tcBorders>
              <w:top w:val="single" w:sz="12" w:space="0" w:color="000000"/>
              <w:left w:val="nil"/>
              <w:bottom w:val="nil"/>
              <w:right w:val="nil"/>
            </w:tcBorders>
            <w:shd w:val="clear" w:color="000000" w:fill="FFFFFF"/>
            <w:noWrap/>
            <w:vAlign w:val="bottom"/>
            <w:hideMark/>
          </w:tcPr>
          <w:p w14:paraId="1F698256" w14:textId="77777777" w:rsidR="00807428" w:rsidRDefault="00807428" w:rsidP="00363DD6">
            <w:pPr>
              <w:jc w:val="center"/>
              <w:rPr>
                <w:color w:val="000000"/>
                <w:sz w:val="22"/>
                <w:szCs w:val="22"/>
              </w:rPr>
            </w:pPr>
            <w:r>
              <w:rPr>
                <w:color w:val="000000"/>
                <w:sz w:val="22"/>
                <w:szCs w:val="22"/>
              </w:rPr>
              <w:t>County FE</w:t>
            </w:r>
          </w:p>
        </w:tc>
        <w:tc>
          <w:tcPr>
            <w:tcW w:w="1428" w:type="dxa"/>
            <w:gridSpan w:val="3"/>
            <w:tcBorders>
              <w:top w:val="single" w:sz="12" w:space="0" w:color="000000"/>
              <w:left w:val="nil"/>
              <w:bottom w:val="single" w:sz="4" w:space="0" w:color="auto"/>
              <w:right w:val="nil"/>
            </w:tcBorders>
            <w:shd w:val="clear" w:color="000000" w:fill="FFFFFF"/>
            <w:noWrap/>
            <w:vAlign w:val="bottom"/>
            <w:hideMark/>
          </w:tcPr>
          <w:p w14:paraId="2DB9EE77" w14:textId="77777777" w:rsidR="00807428" w:rsidRDefault="00807428" w:rsidP="00363DD6">
            <w:pPr>
              <w:jc w:val="center"/>
              <w:rPr>
                <w:color w:val="000000"/>
                <w:sz w:val="22"/>
                <w:szCs w:val="22"/>
              </w:rPr>
            </w:pPr>
            <w:r>
              <w:rPr>
                <w:color w:val="000000"/>
                <w:sz w:val="22"/>
                <w:szCs w:val="22"/>
              </w:rPr>
              <w:t>Lender FE</w:t>
            </w:r>
          </w:p>
        </w:tc>
        <w:tc>
          <w:tcPr>
            <w:tcW w:w="1427" w:type="dxa"/>
            <w:tcBorders>
              <w:top w:val="single" w:sz="12" w:space="0" w:color="000000"/>
              <w:left w:val="nil"/>
              <w:bottom w:val="single" w:sz="4" w:space="0" w:color="auto"/>
              <w:right w:val="nil"/>
            </w:tcBorders>
            <w:shd w:val="clear" w:color="000000" w:fill="FFFFFF"/>
            <w:noWrap/>
            <w:vAlign w:val="bottom"/>
            <w:hideMark/>
          </w:tcPr>
          <w:p w14:paraId="50FE212C" w14:textId="77777777" w:rsidR="00807428" w:rsidRDefault="00807428" w:rsidP="00363DD6">
            <w:pPr>
              <w:jc w:val="center"/>
              <w:rPr>
                <w:color w:val="000000"/>
                <w:sz w:val="22"/>
                <w:szCs w:val="22"/>
              </w:rPr>
            </w:pPr>
            <w:r>
              <w:rPr>
                <w:color w:val="000000"/>
                <w:sz w:val="22"/>
                <w:szCs w:val="22"/>
              </w:rPr>
              <w:t>Both FE</w:t>
            </w:r>
          </w:p>
        </w:tc>
        <w:tc>
          <w:tcPr>
            <w:tcW w:w="1428" w:type="dxa"/>
            <w:gridSpan w:val="2"/>
            <w:tcBorders>
              <w:top w:val="single" w:sz="12" w:space="0" w:color="000000"/>
              <w:left w:val="nil"/>
              <w:bottom w:val="single" w:sz="4" w:space="0" w:color="auto"/>
              <w:right w:val="nil"/>
            </w:tcBorders>
            <w:shd w:val="clear" w:color="000000" w:fill="FFFFFF"/>
            <w:noWrap/>
            <w:vAlign w:val="bottom"/>
            <w:hideMark/>
          </w:tcPr>
          <w:p w14:paraId="404B7BF0" w14:textId="77777777" w:rsidR="00807428" w:rsidRDefault="00807428" w:rsidP="00363DD6">
            <w:pPr>
              <w:jc w:val="center"/>
              <w:rPr>
                <w:color w:val="000000"/>
                <w:sz w:val="22"/>
                <w:szCs w:val="22"/>
              </w:rPr>
            </w:pPr>
            <w:r>
              <w:rPr>
                <w:color w:val="000000"/>
                <w:sz w:val="22"/>
                <w:szCs w:val="22"/>
              </w:rPr>
              <w:t>+ Interaction</w:t>
            </w:r>
          </w:p>
        </w:tc>
      </w:tr>
      <w:tr w:rsidR="00807428" w:rsidRPr="0025020B" w14:paraId="6EFCB394" w14:textId="77777777" w:rsidTr="00363DD6">
        <w:trPr>
          <w:trHeight w:val="20"/>
        </w:trPr>
        <w:tc>
          <w:tcPr>
            <w:tcW w:w="3380" w:type="dxa"/>
            <w:tcBorders>
              <w:top w:val="nil"/>
              <w:left w:val="nil"/>
              <w:bottom w:val="single" w:sz="8" w:space="0" w:color="000000"/>
              <w:right w:val="nil"/>
            </w:tcBorders>
            <w:shd w:val="clear" w:color="000000" w:fill="FFFFFF"/>
            <w:vAlign w:val="center"/>
            <w:hideMark/>
          </w:tcPr>
          <w:p w14:paraId="326FBA69" w14:textId="77777777" w:rsidR="00807428" w:rsidRPr="0025020B" w:rsidRDefault="00807428" w:rsidP="00363DD6">
            <w:pPr>
              <w:rPr>
                <w:color w:val="000000"/>
                <w:sz w:val="21"/>
                <w:szCs w:val="21"/>
              </w:rPr>
            </w:pPr>
            <w:r w:rsidRPr="0025020B">
              <w:rPr>
                <w:color w:val="000000"/>
                <w:sz w:val="21"/>
                <w:szCs w:val="21"/>
              </w:rPr>
              <w:t> </w:t>
            </w:r>
          </w:p>
        </w:tc>
        <w:tc>
          <w:tcPr>
            <w:tcW w:w="1427" w:type="dxa"/>
            <w:tcBorders>
              <w:top w:val="single" w:sz="4" w:space="0" w:color="auto"/>
              <w:left w:val="nil"/>
              <w:bottom w:val="single" w:sz="8" w:space="0" w:color="auto"/>
              <w:right w:val="nil"/>
            </w:tcBorders>
            <w:shd w:val="clear" w:color="000000" w:fill="FFFFFF"/>
            <w:vAlign w:val="center"/>
            <w:hideMark/>
          </w:tcPr>
          <w:p w14:paraId="034F1136" w14:textId="77777777" w:rsidR="00807428" w:rsidRPr="0025020B" w:rsidRDefault="00807428" w:rsidP="00363DD6">
            <w:pPr>
              <w:jc w:val="center"/>
              <w:rPr>
                <w:sz w:val="21"/>
                <w:szCs w:val="21"/>
              </w:rPr>
            </w:pPr>
            <w:r w:rsidRPr="0025020B">
              <w:rPr>
                <w:sz w:val="21"/>
                <w:szCs w:val="21"/>
              </w:rPr>
              <w:t>(</w:t>
            </w:r>
            <w:r>
              <w:rPr>
                <w:sz w:val="21"/>
                <w:szCs w:val="21"/>
              </w:rPr>
              <w:t>4</w:t>
            </w:r>
            <w:r w:rsidRPr="0025020B">
              <w:rPr>
                <w:sz w:val="21"/>
                <w:szCs w:val="21"/>
              </w:rPr>
              <w:t>)</w:t>
            </w:r>
          </w:p>
        </w:tc>
        <w:tc>
          <w:tcPr>
            <w:tcW w:w="1428" w:type="dxa"/>
            <w:gridSpan w:val="3"/>
            <w:tcBorders>
              <w:top w:val="nil"/>
              <w:left w:val="nil"/>
              <w:bottom w:val="single" w:sz="8" w:space="0" w:color="auto"/>
              <w:right w:val="nil"/>
            </w:tcBorders>
            <w:shd w:val="clear" w:color="000000" w:fill="FFFFFF"/>
            <w:vAlign w:val="center"/>
            <w:hideMark/>
          </w:tcPr>
          <w:p w14:paraId="0B53E78A" w14:textId="77777777" w:rsidR="00807428" w:rsidRPr="0025020B" w:rsidRDefault="00807428" w:rsidP="00363DD6">
            <w:pPr>
              <w:jc w:val="center"/>
              <w:rPr>
                <w:sz w:val="21"/>
                <w:szCs w:val="21"/>
              </w:rPr>
            </w:pPr>
            <w:r w:rsidRPr="0025020B">
              <w:rPr>
                <w:sz w:val="21"/>
                <w:szCs w:val="21"/>
              </w:rPr>
              <w:t>(</w:t>
            </w:r>
            <w:r>
              <w:rPr>
                <w:sz w:val="21"/>
                <w:szCs w:val="21"/>
              </w:rPr>
              <w:t>5</w:t>
            </w:r>
            <w:r w:rsidRPr="0025020B">
              <w:rPr>
                <w:sz w:val="21"/>
                <w:szCs w:val="21"/>
              </w:rPr>
              <w:t>)</w:t>
            </w:r>
          </w:p>
        </w:tc>
        <w:tc>
          <w:tcPr>
            <w:tcW w:w="1427" w:type="dxa"/>
            <w:tcBorders>
              <w:top w:val="nil"/>
              <w:left w:val="nil"/>
              <w:bottom w:val="nil"/>
              <w:right w:val="nil"/>
            </w:tcBorders>
            <w:shd w:val="clear" w:color="000000" w:fill="FFFFFF"/>
            <w:vAlign w:val="center"/>
            <w:hideMark/>
          </w:tcPr>
          <w:p w14:paraId="2CE63EFA" w14:textId="77777777" w:rsidR="00807428" w:rsidRPr="0025020B" w:rsidRDefault="00807428" w:rsidP="00363DD6">
            <w:pPr>
              <w:jc w:val="center"/>
              <w:rPr>
                <w:sz w:val="21"/>
                <w:szCs w:val="21"/>
              </w:rPr>
            </w:pPr>
            <w:r w:rsidRPr="0025020B">
              <w:rPr>
                <w:sz w:val="21"/>
                <w:szCs w:val="21"/>
              </w:rPr>
              <w:t>(</w:t>
            </w:r>
            <w:r>
              <w:rPr>
                <w:sz w:val="21"/>
                <w:szCs w:val="21"/>
              </w:rPr>
              <w:t>6</w:t>
            </w:r>
            <w:r w:rsidRPr="0025020B">
              <w:rPr>
                <w:sz w:val="21"/>
                <w:szCs w:val="21"/>
              </w:rPr>
              <w:t>)</w:t>
            </w:r>
          </w:p>
        </w:tc>
        <w:tc>
          <w:tcPr>
            <w:tcW w:w="1428" w:type="dxa"/>
            <w:gridSpan w:val="2"/>
            <w:tcBorders>
              <w:top w:val="nil"/>
              <w:left w:val="nil"/>
              <w:bottom w:val="nil"/>
              <w:right w:val="nil"/>
            </w:tcBorders>
            <w:shd w:val="clear" w:color="000000" w:fill="FFFFFF"/>
            <w:vAlign w:val="center"/>
            <w:hideMark/>
          </w:tcPr>
          <w:p w14:paraId="180ABCE1" w14:textId="77777777" w:rsidR="00807428" w:rsidRPr="0025020B" w:rsidRDefault="00807428" w:rsidP="00363DD6">
            <w:pPr>
              <w:jc w:val="center"/>
              <w:rPr>
                <w:sz w:val="21"/>
                <w:szCs w:val="21"/>
              </w:rPr>
            </w:pPr>
            <w:r w:rsidRPr="0025020B">
              <w:rPr>
                <w:sz w:val="21"/>
                <w:szCs w:val="21"/>
              </w:rPr>
              <w:t>(</w:t>
            </w:r>
            <w:r>
              <w:rPr>
                <w:sz w:val="21"/>
                <w:szCs w:val="21"/>
              </w:rPr>
              <w:t>7</w:t>
            </w:r>
            <w:r w:rsidRPr="0025020B">
              <w:rPr>
                <w:sz w:val="21"/>
                <w:szCs w:val="21"/>
              </w:rPr>
              <w:t>)</w:t>
            </w:r>
          </w:p>
        </w:tc>
      </w:tr>
      <w:tr w:rsidR="00807428" w:rsidRPr="0025020B" w14:paraId="7E655AE6" w14:textId="77777777" w:rsidTr="00363DD6">
        <w:trPr>
          <w:trHeight w:val="20"/>
        </w:trPr>
        <w:tc>
          <w:tcPr>
            <w:tcW w:w="3380" w:type="dxa"/>
            <w:tcBorders>
              <w:top w:val="nil"/>
              <w:left w:val="nil"/>
              <w:right w:val="nil"/>
            </w:tcBorders>
            <w:shd w:val="clear" w:color="000000" w:fill="FFFFFF"/>
            <w:vAlign w:val="center"/>
            <w:hideMark/>
          </w:tcPr>
          <w:p w14:paraId="6F8220EC" w14:textId="77777777" w:rsidR="00807428" w:rsidRPr="0025020B" w:rsidRDefault="00807428" w:rsidP="00363DD6">
            <w:pPr>
              <w:rPr>
                <w:sz w:val="21"/>
                <w:szCs w:val="21"/>
              </w:rPr>
            </w:pPr>
            <w:r w:rsidRPr="0025020B">
              <w:rPr>
                <w:sz w:val="21"/>
                <w:szCs w:val="21"/>
              </w:rPr>
              <w:t>Majority Black</w:t>
            </w:r>
          </w:p>
        </w:tc>
        <w:tc>
          <w:tcPr>
            <w:tcW w:w="1427" w:type="dxa"/>
            <w:tcBorders>
              <w:top w:val="nil"/>
              <w:left w:val="nil"/>
              <w:bottom w:val="nil"/>
              <w:right w:val="nil"/>
            </w:tcBorders>
            <w:shd w:val="clear" w:color="000000" w:fill="FFFFFF"/>
            <w:vAlign w:val="center"/>
            <w:hideMark/>
          </w:tcPr>
          <w:p w14:paraId="6E35F265" w14:textId="77777777" w:rsidR="00807428" w:rsidRDefault="00807428" w:rsidP="00363DD6">
            <w:pPr>
              <w:jc w:val="center"/>
              <w:rPr>
                <w:sz w:val="22"/>
                <w:szCs w:val="22"/>
              </w:rPr>
            </w:pPr>
            <w:r>
              <w:rPr>
                <w:sz w:val="22"/>
                <w:szCs w:val="22"/>
              </w:rPr>
              <w:t>0.118***</w:t>
            </w:r>
          </w:p>
        </w:tc>
        <w:tc>
          <w:tcPr>
            <w:tcW w:w="1428" w:type="dxa"/>
            <w:gridSpan w:val="3"/>
            <w:tcBorders>
              <w:top w:val="nil"/>
              <w:left w:val="nil"/>
              <w:bottom w:val="nil"/>
              <w:right w:val="nil"/>
            </w:tcBorders>
            <w:shd w:val="clear" w:color="000000" w:fill="FFFFFF"/>
            <w:vAlign w:val="center"/>
            <w:hideMark/>
          </w:tcPr>
          <w:p w14:paraId="26A105DA" w14:textId="77777777" w:rsidR="00807428" w:rsidRDefault="00807428" w:rsidP="00363DD6">
            <w:pPr>
              <w:jc w:val="center"/>
              <w:rPr>
                <w:sz w:val="22"/>
                <w:szCs w:val="22"/>
              </w:rPr>
            </w:pPr>
            <w:r>
              <w:rPr>
                <w:sz w:val="22"/>
                <w:szCs w:val="22"/>
              </w:rPr>
              <w:t>0.157***</w:t>
            </w:r>
          </w:p>
        </w:tc>
        <w:tc>
          <w:tcPr>
            <w:tcW w:w="1427" w:type="dxa"/>
            <w:tcBorders>
              <w:top w:val="single" w:sz="8" w:space="0" w:color="auto"/>
              <w:left w:val="nil"/>
              <w:bottom w:val="nil"/>
              <w:right w:val="nil"/>
            </w:tcBorders>
            <w:shd w:val="clear" w:color="000000" w:fill="FFFFFF"/>
            <w:vAlign w:val="center"/>
            <w:hideMark/>
          </w:tcPr>
          <w:p w14:paraId="0A6A4B19" w14:textId="77777777" w:rsidR="00807428" w:rsidRDefault="00807428" w:rsidP="00363DD6">
            <w:pPr>
              <w:jc w:val="center"/>
              <w:rPr>
                <w:sz w:val="22"/>
                <w:szCs w:val="22"/>
              </w:rPr>
            </w:pPr>
            <w:r>
              <w:rPr>
                <w:sz w:val="22"/>
                <w:szCs w:val="22"/>
              </w:rPr>
              <w:t>0.118***</w:t>
            </w:r>
          </w:p>
        </w:tc>
        <w:tc>
          <w:tcPr>
            <w:tcW w:w="1428" w:type="dxa"/>
            <w:gridSpan w:val="2"/>
            <w:tcBorders>
              <w:top w:val="single" w:sz="8" w:space="0" w:color="auto"/>
              <w:left w:val="nil"/>
              <w:bottom w:val="nil"/>
              <w:right w:val="nil"/>
            </w:tcBorders>
            <w:shd w:val="clear" w:color="000000" w:fill="FFFFFF"/>
            <w:vAlign w:val="center"/>
            <w:hideMark/>
          </w:tcPr>
          <w:p w14:paraId="2ACFBBD3" w14:textId="77777777" w:rsidR="00807428" w:rsidRDefault="00807428" w:rsidP="00363DD6">
            <w:pPr>
              <w:jc w:val="center"/>
              <w:rPr>
                <w:sz w:val="22"/>
                <w:szCs w:val="22"/>
              </w:rPr>
            </w:pPr>
            <w:r>
              <w:rPr>
                <w:sz w:val="22"/>
                <w:szCs w:val="22"/>
              </w:rPr>
              <w:t>0.111***</w:t>
            </w:r>
          </w:p>
        </w:tc>
      </w:tr>
      <w:tr w:rsidR="00807428" w:rsidRPr="0025020B" w14:paraId="5BEA1857" w14:textId="77777777" w:rsidTr="00363DD6">
        <w:trPr>
          <w:trHeight w:val="20"/>
        </w:trPr>
        <w:tc>
          <w:tcPr>
            <w:tcW w:w="3380" w:type="dxa"/>
            <w:tcBorders>
              <w:top w:val="nil"/>
              <w:left w:val="nil"/>
              <w:right w:val="nil"/>
            </w:tcBorders>
            <w:shd w:val="clear" w:color="000000" w:fill="FFFFFF"/>
            <w:vAlign w:val="center"/>
            <w:hideMark/>
          </w:tcPr>
          <w:p w14:paraId="115D342D"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FA75753" w14:textId="77777777" w:rsidR="00807428" w:rsidRDefault="00807428" w:rsidP="00363DD6">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11CDCEBE" w14:textId="77777777" w:rsidR="00807428" w:rsidRDefault="00807428" w:rsidP="00363DD6">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1F80FC5B" w14:textId="77777777" w:rsidR="00807428" w:rsidRDefault="00807428" w:rsidP="00363DD6">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325E04C7" w14:textId="77777777" w:rsidR="00807428" w:rsidRDefault="00807428" w:rsidP="00363DD6">
            <w:pPr>
              <w:jc w:val="center"/>
              <w:rPr>
                <w:sz w:val="22"/>
                <w:szCs w:val="22"/>
              </w:rPr>
            </w:pPr>
            <w:r>
              <w:rPr>
                <w:sz w:val="22"/>
                <w:szCs w:val="22"/>
              </w:rPr>
              <w:t>(0.01)</w:t>
            </w:r>
          </w:p>
        </w:tc>
      </w:tr>
      <w:tr w:rsidR="00807428" w:rsidRPr="0025020B" w14:paraId="2907BBA7" w14:textId="77777777" w:rsidTr="00363DD6">
        <w:trPr>
          <w:trHeight w:val="20"/>
        </w:trPr>
        <w:tc>
          <w:tcPr>
            <w:tcW w:w="3380" w:type="dxa"/>
            <w:tcBorders>
              <w:left w:val="nil"/>
              <w:bottom w:val="nil"/>
              <w:right w:val="nil"/>
            </w:tcBorders>
            <w:shd w:val="clear" w:color="000000" w:fill="FFFFFF"/>
            <w:vAlign w:val="center"/>
            <w:hideMark/>
          </w:tcPr>
          <w:p w14:paraId="3EB49779" w14:textId="77777777" w:rsidR="00807428" w:rsidRPr="0025020B" w:rsidRDefault="00807428" w:rsidP="00363DD6">
            <w:pPr>
              <w:rPr>
                <w:color w:val="000000"/>
                <w:sz w:val="21"/>
                <w:szCs w:val="21"/>
              </w:rPr>
            </w:pPr>
            <w:r w:rsidRPr="0025020B">
              <w:rPr>
                <w:color w:val="000000"/>
                <w:sz w:val="21"/>
                <w:szCs w:val="21"/>
              </w:rPr>
              <w:t>Income</w:t>
            </w:r>
          </w:p>
        </w:tc>
        <w:tc>
          <w:tcPr>
            <w:tcW w:w="1427" w:type="dxa"/>
            <w:tcBorders>
              <w:top w:val="nil"/>
              <w:left w:val="nil"/>
              <w:bottom w:val="nil"/>
              <w:right w:val="nil"/>
            </w:tcBorders>
            <w:shd w:val="clear" w:color="000000" w:fill="FFFFFF"/>
            <w:vAlign w:val="center"/>
            <w:hideMark/>
          </w:tcPr>
          <w:p w14:paraId="3123DCF1" w14:textId="77777777" w:rsidR="00807428" w:rsidRDefault="00807428" w:rsidP="00363DD6">
            <w:pPr>
              <w:jc w:val="center"/>
              <w:rPr>
                <w:sz w:val="22"/>
                <w:szCs w:val="22"/>
              </w:rPr>
            </w:pPr>
            <w:r>
              <w:rPr>
                <w:sz w:val="22"/>
                <w:szCs w:val="22"/>
              </w:rPr>
              <w:t>-0.001***</w:t>
            </w:r>
          </w:p>
        </w:tc>
        <w:tc>
          <w:tcPr>
            <w:tcW w:w="1428" w:type="dxa"/>
            <w:gridSpan w:val="3"/>
            <w:tcBorders>
              <w:top w:val="nil"/>
              <w:left w:val="nil"/>
              <w:bottom w:val="nil"/>
              <w:right w:val="nil"/>
            </w:tcBorders>
            <w:shd w:val="clear" w:color="000000" w:fill="FFFFFF"/>
            <w:vAlign w:val="center"/>
            <w:hideMark/>
          </w:tcPr>
          <w:p w14:paraId="47DFD72D" w14:textId="77777777" w:rsidR="00807428" w:rsidRDefault="00807428" w:rsidP="00363DD6">
            <w:pPr>
              <w:jc w:val="center"/>
              <w:rPr>
                <w:sz w:val="22"/>
                <w:szCs w:val="22"/>
              </w:rPr>
            </w:pPr>
            <w:r>
              <w:rPr>
                <w:sz w:val="22"/>
                <w:szCs w:val="22"/>
              </w:rPr>
              <w:t>-0.001***</w:t>
            </w:r>
          </w:p>
        </w:tc>
        <w:tc>
          <w:tcPr>
            <w:tcW w:w="1427" w:type="dxa"/>
            <w:tcBorders>
              <w:top w:val="nil"/>
              <w:left w:val="nil"/>
              <w:bottom w:val="nil"/>
              <w:right w:val="nil"/>
            </w:tcBorders>
            <w:shd w:val="clear" w:color="000000" w:fill="FFFFFF"/>
            <w:vAlign w:val="center"/>
            <w:hideMark/>
          </w:tcPr>
          <w:p w14:paraId="714EBA14" w14:textId="77777777" w:rsidR="00807428" w:rsidRDefault="00807428" w:rsidP="00363DD6">
            <w:pPr>
              <w:jc w:val="center"/>
              <w:rPr>
                <w:sz w:val="22"/>
                <w:szCs w:val="22"/>
              </w:rPr>
            </w:pPr>
            <w:r>
              <w:rPr>
                <w:sz w:val="22"/>
                <w:szCs w:val="22"/>
              </w:rPr>
              <w:t>-0.001***</w:t>
            </w:r>
          </w:p>
        </w:tc>
        <w:tc>
          <w:tcPr>
            <w:tcW w:w="1428" w:type="dxa"/>
            <w:gridSpan w:val="2"/>
            <w:tcBorders>
              <w:top w:val="nil"/>
              <w:left w:val="nil"/>
              <w:bottom w:val="nil"/>
              <w:right w:val="nil"/>
            </w:tcBorders>
            <w:shd w:val="clear" w:color="000000" w:fill="FFFFFF"/>
            <w:vAlign w:val="center"/>
            <w:hideMark/>
          </w:tcPr>
          <w:p w14:paraId="74457E35" w14:textId="77777777" w:rsidR="00807428" w:rsidRDefault="00807428" w:rsidP="00363DD6">
            <w:pPr>
              <w:jc w:val="center"/>
              <w:rPr>
                <w:sz w:val="22"/>
                <w:szCs w:val="22"/>
              </w:rPr>
            </w:pPr>
            <w:r>
              <w:rPr>
                <w:sz w:val="22"/>
                <w:szCs w:val="22"/>
              </w:rPr>
              <w:t>-0.001***</w:t>
            </w:r>
          </w:p>
        </w:tc>
      </w:tr>
      <w:tr w:rsidR="00807428" w:rsidRPr="0025020B" w14:paraId="335C653B" w14:textId="77777777" w:rsidTr="00363DD6">
        <w:trPr>
          <w:trHeight w:val="20"/>
        </w:trPr>
        <w:tc>
          <w:tcPr>
            <w:tcW w:w="3380" w:type="dxa"/>
            <w:tcBorders>
              <w:top w:val="nil"/>
              <w:left w:val="nil"/>
              <w:bottom w:val="nil"/>
              <w:right w:val="nil"/>
            </w:tcBorders>
            <w:shd w:val="clear" w:color="000000" w:fill="FFFFFF"/>
            <w:vAlign w:val="center"/>
            <w:hideMark/>
          </w:tcPr>
          <w:p w14:paraId="28B6CE03"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80A027D" w14:textId="77777777" w:rsidR="00807428" w:rsidRDefault="00807428" w:rsidP="00363DD6">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030E2E23" w14:textId="77777777" w:rsidR="00807428" w:rsidRDefault="00807428" w:rsidP="00363DD6">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520C9515" w14:textId="77777777" w:rsidR="00807428" w:rsidRDefault="00807428" w:rsidP="00363DD6">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47C03274" w14:textId="77777777" w:rsidR="00807428" w:rsidRDefault="00807428" w:rsidP="00363DD6">
            <w:pPr>
              <w:jc w:val="center"/>
              <w:rPr>
                <w:sz w:val="22"/>
                <w:szCs w:val="22"/>
              </w:rPr>
            </w:pPr>
            <w:r>
              <w:rPr>
                <w:sz w:val="22"/>
                <w:szCs w:val="22"/>
              </w:rPr>
              <w:t>(0.00)</w:t>
            </w:r>
          </w:p>
        </w:tc>
      </w:tr>
      <w:tr w:rsidR="00807428" w:rsidRPr="0025020B" w14:paraId="7698BC6A" w14:textId="77777777" w:rsidTr="00363DD6">
        <w:trPr>
          <w:trHeight w:val="20"/>
        </w:trPr>
        <w:tc>
          <w:tcPr>
            <w:tcW w:w="3380" w:type="dxa"/>
            <w:tcBorders>
              <w:top w:val="nil"/>
              <w:left w:val="nil"/>
              <w:bottom w:val="nil"/>
              <w:right w:val="nil"/>
            </w:tcBorders>
            <w:shd w:val="clear" w:color="000000" w:fill="FFFFFF"/>
            <w:vAlign w:val="center"/>
            <w:hideMark/>
          </w:tcPr>
          <w:p w14:paraId="7AA46125" w14:textId="77777777" w:rsidR="00807428" w:rsidRPr="0025020B" w:rsidRDefault="00807428" w:rsidP="00363DD6">
            <w:pPr>
              <w:rPr>
                <w:color w:val="000000"/>
                <w:sz w:val="21"/>
                <w:szCs w:val="21"/>
              </w:rPr>
            </w:pPr>
            <w:r w:rsidRPr="0025020B">
              <w:rPr>
                <w:color w:val="000000"/>
                <w:sz w:val="21"/>
                <w:szCs w:val="21"/>
              </w:rPr>
              <w:t>Loan amount (1</w:t>
            </w:r>
            <w:r>
              <w:rPr>
                <w:color w:val="000000"/>
                <w:sz w:val="21"/>
                <w:szCs w:val="21"/>
              </w:rPr>
              <w:t>0</w:t>
            </w:r>
            <w:r w:rsidRPr="0025020B">
              <w:rPr>
                <w:color w:val="000000"/>
                <w:sz w:val="21"/>
                <w:szCs w:val="21"/>
              </w:rPr>
              <w:t>,000s)</w:t>
            </w:r>
          </w:p>
        </w:tc>
        <w:tc>
          <w:tcPr>
            <w:tcW w:w="1427" w:type="dxa"/>
            <w:tcBorders>
              <w:top w:val="nil"/>
              <w:left w:val="nil"/>
              <w:bottom w:val="nil"/>
              <w:right w:val="nil"/>
            </w:tcBorders>
            <w:shd w:val="clear" w:color="000000" w:fill="FFFFFF"/>
            <w:vAlign w:val="center"/>
            <w:hideMark/>
          </w:tcPr>
          <w:p w14:paraId="0F2FCB0B" w14:textId="77777777" w:rsidR="00807428" w:rsidRDefault="00807428" w:rsidP="00363DD6">
            <w:pPr>
              <w:jc w:val="center"/>
              <w:rPr>
                <w:sz w:val="22"/>
                <w:szCs w:val="22"/>
              </w:rPr>
            </w:pPr>
            <w:r>
              <w:rPr>
                <w:sz w:val="22"/>
                <w:szCs w:val="22"/>
              </w:rPr>
              <w:t>-0.009***</w:t>
            </w:r>
          </w:p>
        </w:tc>
        <w:tc>
          <w:tcPr>
            <w:tcW w:w="1428" w:type="dxa"/>
            <w:gridSpan w:val="3"/>
            <w:tcBorders>
              <w:top w:val="nil"/>
              <w:left w:val="nil"/>
              <w:bottom w:val="nil"/>
              <w:right w:val="nil"/>
            </w:tcBorders>
            <w:shd w:val="clear" w:color="000000" w:fill="FFFFFF"/>
            <w:vAlign w:val="center"/>
            <w:hideMark/>
          </w:tcPr>
          <w:p w14:paraId="378D2F8D" w14:textId="77777777" w:rsidR="00807428" w:rsidRDefault="00807428" w:rsidP="00363DD6">
            <w:pPr>
              <w:jc w:val="center"/>
              <w:rPr>
                <w:sz w:val="22"/>
                <w:szCs w:val="22"/>
              </w:rPr>
            </w:pPr>
            <w:r>
              <w:rPr>
                <w:sz w:val="22"/>
                <w:szCs w:val="22"/>
              </w:rPr>
              <w:t>-0.010***</w:t>
            </w:r>
          </w:p>
        </w:tc>
        <w:tc>
          <w:tcPr>
            <w:tcW w:w="1427" w:type="dxa"/>
            <w:tcBorders>
              <w:top w:val="nil"/>
              <w:left w:val="nil"/>
              <w:bottom w:val="nil"/>
              <w:right w:val="nil"/>
            </w:tcBorders>
            <w:shd w:val="clear" w:color="000000" w:fill="FFFFFF"/>
            <w:vAlign w:val="center"/>
            <w:hideMark/>
          </w:tcPr>
          <w:p w14:paraId="3E6603CC" w14:textId="77777777" w:rsidR="00807428" w:rsidRDefault="00807428" w:rsidP="00363DD6">
            <w:pPr>
              <w:jc w:val="center"/>
              <w:rPr>
                <w:sz w:val="22"/>
                <w:szCs w:val="22"/>
              </w:rPr>
            </w:pPr>
            <w:r>
              <w:rPr>
                <w:sz w:val="22"/>
                <w:szCs w:val="22"/>
              </w:rPr>
              <w:t>-0.009***</w:t>
            </w:r>
          </w:p>
        </w:tc>
        <w:tc>
          <w:tcPr>
            <w:tcW w:w="1428" w:type="dxa"/>
            <w:gridSpan w:val="2"/>
            <w:tcBorders>
              <w:top w:val="nil"/>
              <w:left w:val="nil"/>
              <w:bottom w:val="nil"/>
              <w:right w:val="nil"/>
            </w:tcBorders>
            <w:shd w:val="clear" w:color="000000" w:fill="FFFFFF"/>
            <w:vAlign w:val="center"/>
            <w:hideMark/>
          </w:tcPr>
          <w:p w14:paraId="6AAC7F33" w14:textId="77777777" w:rsidR="00807428" w:rsidRDefault="00807428" w:rsidP="00363DD6">
            <w:pPr>
              <w:jc w:val="center"/>
              <w:rPr>
                <w:sz w:val="22"/>
                <w:szCs w:val="22"/>
              </w:rPr>
            </w:pPr>
            <w:r>
              <w:rPr>
                <w:sz w:val="22"/>
                <w:szCs w:val="22"/>
              </w:rPr>
              <w:t>-0.001***</w:t>
            </w:r>
          </w:p>
        </w:tc>
      </w:tr>
      <w:tr w:rsidR="00807428" w:rsidRPr="0025020B" w14:paraId="1893D96D" w14:textId="77777777" w:rsidTr="00363DD6">
        <w:trPr>
          <w:trHeight w:val="20"/>
        </w:trPr>
        <w:tc>
          <w:tcPr>
            <w:tcW w:w="3380" w:type="dxa"/>
            <w:tcBorders>
              <w:top w:val="nil"/>
              <w:left w:val="nil"/>
              <w:bottom w:val="nil"/>
              <w:right w:val="nil"/>
            </w:tcBorders>
            <w:shd w:val="clear" w:color="000000" w:fill="FFFFFF"/>
            <w:vAlign w:val="center"/>
            <w:hideMark/>
          </w:tcPr>
          <w:p w14:paraId="5C811622"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F3AF848" w14:textId="77777777" w:rsidR="00807428" w:rsidRDefault="00807428" w:rsidP="00363DD6">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7453CB81" w14:textId="77777777" w:rsidR="00807428" w:rsidRDefault="00807428" w:rsidP="00363DD6">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4DB2FC8A" w14:textId="77777777" w:rsidR="00807428" w:rsidRDefault="00807428" w:rsidP="00363DD6">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668F0A87" w14:textId="77777777" w:rsidR="00807428" w:rsidRDefault="00807428" w:rsidP="00363DD6">
            <w:pPr>
              <w:jc w:val="center"/>
              <w:rPr>
                <w:sz w:val="22"/>
                <w:szCs w:val="22"/>
              </w:rPr>
            </w:pPr>
            <w:r>
              <w:rPr>
                <w:sz w:val="22"/>
                <w:szCs w:val="22"/>
              </w:rPr>
              <w:t>(0.00)</w:t>
            </w:r>
          </w:p>
        </w:tc>
      </w:tr>
      <w:tr w:rsidR="00807428" w:rsidRPr="0025020B" w14:paraId="5D3DEBAB" w14:textId="77777777" w:rsidTr="00363DD6">
        <w:trPr>
          <w:trHeight w:val="20"/>
        </w:trPr>
        <w:tc>
          <w:tcPr>
            <w:tcW w:w="3380" w:type="dxa"/>
            <w:tcBorders>
              <w:top w:val="nil"/>
              <w:left w:val="nil"/>
              <w:bottom w:val="nil"/>
              <w:right w:val="nil"/>
            </w:tcBorders>
            <w:shd w:val="clear" w:color="000000" w:fill="FFFFFF"/>
            <w:vAlign w:val="center"/>
            <w:hideMark/>
          </w:tcPr>
          <w:p w14:paraId="7B08F227" w14:textId="77777777" w:rsidR="00807428" w:rsidRPr="0025020B" w:rsidRDefault="00807428" w:rsidP="00363DD6">
            <w:pPr>
              <w:rPr>
                <w:color w:val="000000"/>
                <w:sz w:val="21"/>
                <w:szCs w:val="21"/>
              </w:rPr>
            </w:pPr>
            <w:r w:rsidRPr="0025020B">
              <w:rPr>
                <w:color w:val="000000"/>
                <w:sz w:val="21"/>
                <w:szCs w:val="21"/>
              </w:rPr>
              <w:t>Female</w:t>
            </w:r>
          </w:p>
        </w:tc>
        <w:tc>
          <w:tcPr>
            <w:tcW w:w="1427" w:type="dxa"/>
            <w:tcBorders>
              <w:top w:val="nil"/>
              <w:left w:val="nil"/>
              <w:bottom w:val="nil"/>
              <w:right w:val="nil"/>
            </w:tcBorders>
            <w:shd w:val="clear" w:color="000000" w:fill="FFFFFF"/>
            <w:vAlign w:val="center"/>
            <w:hideMark/>
          </w:tcPr>
          <w:p w14:paraId="213EADEB" w14:textId="77777777" w:rsidR="00807428" w:rsidRDefault="00807428" w:rsidP="00363DD6">
            <w:pPr>
              <w:jc w:val="center"/>
              <w:rPr>
                <w:sz w:val="22"/>
                <w:szCs w:val="22"/>
              </w:rPr>
            </w:pPr>
            <w:r>
              <w:rPr>
                <w:sz w:val="22"/>
                <w:szCs w:val="22"/>
              </w:rPr>
              <w:t>0.139***</w:t>
            </w:r>
          </w:p>
        </w:tc>
        <w:tc>
          <w:tcPr>
            <w:tcW w:w="1428" w:type="dxa"/>
            <w:gridSpan w:val="3"/>
            <w:tcBorders>
              <w:top w:val="nil"/>
              <w:left w:val="nil"/>
              <w:bottom w:val="nil"/>
              <w:right w:val="nil"/>
            </w:tcBorders>
            <w:shd w:val="clear" w:color="000000" w:fill="FFFFFF"/>
            <w:vAlign w:val="center"/>
            <w:hideMark/>
          </w:tcPr>
          <w:p w14:paraId="7CA2CBA3" w14:textId="77777777" w:rsidR="00807428" w:rsidRDefault="00807428" w:rsidP="00363DD6">
            <w:pPr>
              <w:jc w:val="center"/>
              <w:rPr>
                <w:sz w:val="22"/>
                <w:szCs w:val="22"/>
              </w:rPr>
            </w:pPr>
            <w:r>
              <w:rPr>
                <w:sz w:val="22"/>
                <w:szCs w:val="22"/>
              </w:rPr>
              <w:t>0.144***</w:t>
            </w:r>
          </w:p>
        </w:tc>
        <w:tc>
          <w:tcPr>
            <w:tcW w:w="1427" w:type="dxa"/>
            <w:tcBorders>
              <w:top w:val="nil"/>
              <w:left w:val="nil"/>
              <w:bottom w:val="nil"/>
              <w:right w:val="nil"/>
            </w:tcBorders>
            <w:shd w:val="clear" w:color="000000" w:fill="FFFFFF"/>
            <w:vAlign w:val="center"/>
            <w:hideMark/>
          </w:tcPr>
          <w:p w14:paraId="0C6B200F" w14:textId="77777777" w:rsidR="00807428" w:rsidRDefault="00807428" w:rsidP="00363DD6">
            <w:pPr>
              <w:jc w:val="center"/>
              <w:rPr>
                <w:sz w:val="22"/>
                <w:szCs w:val="22"/>
              </w:rPr>
            </w:pPr>
            <w:r>
              <w:rPr>
                <w:sz w:val="22"/>
                <w:szCs w:val="22"/>
              </w:rPr>
              <w:t>0.127***</w:t>
            </w:r>
          </w:p>
        </w:tc>
        <w:tc>
          <w:tcPr>
            <w:tcW w:w="1428" w:type="dxa"/>
            <w:gridSpan w:val="2"/>
            <w:tcBorders>
              <w:top w:val="nil"/>
              <w:left w:val="nil"/>
              <w:bottom w:val="nil"/>
              <w:right w:val="nil"/>
            </w:tcBorders>
            <w:shd w:val="clear" w:color="000000" w:fill="FFFFFF"/>
            <w:vAlign w:val="center"/>
            <w:hideMark/>
          </w:tcPr>
          <w:p w14:paraId="04B98C09" w14:textId="77777777" w:rsidR="00807428" w:rsidRDefault="00807428" w:rsidP="00363DD6">
            <w:pPr>
              <w:jc w:val="center"/>
              <w:rPr>
                <w:sz w:val="22"/>
                <w:szCs w:val="22"/>
              </w:rPr>
            </w:pPr>
            <w:r>
              <w:rPr>
                <w:sz w:val="22"/>
                <w:szCs w:val="22"/>
              </w:rPr>
              <w:t>0.112***</w:t>
            </w:r>
          </w:p>
        </w:tc>
      </w:tr>
      <w:tr w:rsidR="00807428" w:rsidRPr="0025020B" w14:paraId="61A4A2D0" w14:textId="77777777" w:rsidTr="00363DD6">
        <w:trPr>
          <w:trHeight w:val="20"/>
        </w:trPr>
        <w:tc>
          <w:tcPr>
            <w:tcW w:w="3380" w:type="dxa"/>
            <w:tcBorders>
              <w:top w:val="nil"/>
              <w:left w:val="nil"/>
              <w:bottom w:val="nil"/>
              <w:right w:val="nil"/>
            </w:tcBorders>
            <w:shd w:val="clear" w:color="000000" w:fill="FFFFFF"/>
            <w:vAlign w:val="center"/>
            <w:hideMark/>
          </w:tcPr>
          <w:p w14:paraId="2B86D404"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E806F92" w14:textId="77777777" w:rsidR="00807428" w:rsidRDefault="00807428" w:rsidP="00363DD6">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5045373D" w14:textId="77777777" w:rsidR="00807428" w:rsidRDefault="00807428" w:rsidP="00363DD6">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0A64FB1A" w14:textId="77777777" w:rsidR="00807428" w:rsidRDefault="00807428" w:rsidP="00363DD6">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5F01C30D" w14:textId="77777777" w:rsidR="00807428" w:rsidRDefault="00807428" w:rsidP="00363DD6">
            <w:pPr>
              <w:jc w:val="center"/>
              <w:rPr>
                <w:sz w:val="22"/>
                <w:szCs w:val="22"/>
              </w:rPr>
            </w:pPr>
            <w:r>
              <w:rPr>
                <w:sz w:val="22"/>
                <w:szCs w:val="22"/>
              </w:rPr>
              <w:t>(0.01)</w:t>
            </w:r>
          </w:p>
        </w:tc>
      </w:tr>
      <w:tr w:rsidR="00807428" w:rsidRPr="0025020B" w14:paraId="64CC7FC3" w14:textId="77777777" w:rsidTr="00363DD6">
        <w:trPr>
          <w:trHeight w:val="20"/>
        </w:trPr>
        <w:tc>
          <w:tcPr>
            <w:tcW w:w="3380" w:type="dxa"/>
            <w:tcBorders>
              <w:top w:val="nil"/>
              <w:left w:val="nil"/>
              <w:bottom w:val="nil"/>
              <w:right w:val="nil"/>
            </w:tcBorders>
            <w:shd w:val="clear" w:color="000000" w:fill="FFFFFF"/>
            <w:vAlign w:val="center"/>
            <w:hideMark/>
          </w:tcPr>
          <w:p w14:paraId="0406DE48" w14:textId="77777777" w:rsidR="00807428" w:rsidRPr="0025020B" w:rsidRDefault="00807428" w:rsidP="00363DD6">
            <w:pPr>
              <w:rPr>
                <w:color w:val="000000"/>
                <w:sz w:val="21"/>
                <w:szCs w:val="21"/>
              </w:rPr>
            </w:pPr>
            <w:r w:rsidRPr="0025020B">
              <w:rPr>
                <w:color w:val="000000"/>
                <w:sz w:val="21"/>
                <w:szCs w:val="21"/>
              </w:rPr>
              <w:t>DTI</w:t>
            </w:r>
          </w:p>
        </w:tc>
        <w:tc>
          <w:tcPr>
            <w:tcW w:w="1427" w:type="dxa"/>
            <w:tcBorders>
              <w:top w:val="nil"/>
              <w:left w:val="nil"/>
              <w:bottom w:val="nil"/>
              <w:right w:val="nil"/>
            </w:tcBorders>
            <w:shd w:val="clear" w:color="000000" w:fill="FFFFFF"/>
            <w:vAlign w:val="center"/>
            <w:hideMark/>
          </w:tcPr>
          <w:p w14:paraId="168A2608" w14:textId="77777777" w:rsidR="00807428" w:rsidRDefault="00807428" w:rsidP="00363DD6">
            <w:pPr>
              <w:jc w:val="center"/>
              <w:rPr>
                <w:sz w:val="22"/>
                <w:szCs w:val="22"/>
              </w:rPr>
            </w:pPr>
            <w:r>
              <w:rPr>
                <w:sz w:val="22"/>
                <w:szCs w:val="22"/>
              </w:rPr>
              <w:t>0.004***</w:t>
            </w:r>
          </w:p>
        </w:tc>
        <w:tc>
          <w:tcPr>
            <w:tcW w:w="1428" w:type="dxa"/>
            <w:gridSpan w:val="3"/>
            <w:tcBorders>
              <w:top w:val="nil"/>
              <w:left w:val="nil"/>
              <w:bottom w:val="nil"/>
              <w:right w:val="nil"/>
            </w:tcBorders>
            <w:shd w:val="clear" w:color="000000" w:fill="FFFFFF"/>
            <w:vAlign w:val="center"/>
            <w:hideMark/>
          </w:tcPr>
          <w:p w14:paraId="4CE1CB62" w14:textId="77777777" w:rsidR="00807428" w:rsidRDefault="00807428" w:rsidP="00363DD6">
            <w:pPr>
              <w:jc w:val="center"/>
              <w:rPr>
                <w:sz w:val="22"/>
                <w:szCs w:val="22"/>
              </w:rPr>
            </w:pPr>
            <w:r>
              <w:rPr>
                <w:sz w:val="22"/>
                <w:szCs w:val="22"/>
              </w:rPr>
              <w:t>0.006***</w:t>
            </w:r>
          </w:p>
        </w:tc>
        <w:tc>
          <w:tcPr>
            <w:tcW w:w="1427" w:type="dxa"/>
            <w:tcBorders>
              <w:top w:val="nil"/>
              <w:left w:val="nil"/>
              <w:bottom w:val="nil"/>
              <w:right w:val="nil"/>
            </w:tcBorders>
            <w:shd w:val="clear" w:color="000000" w:fill="FFFFFF"/>
            <w:vAlign w:val="center"/>
            <w:hideMark/>
          </w:tcPr>
          <w:p w14:paraId="0D445D93" w14:textId="77777777" w:rsidR="00807428" w:rsidRDefault="00807428" w:rsidP="00363DD6">
            <w:pPr>
              <w:jc w:val="center"/>
              <w:rPr>
                <w:sz w:val="22"/>
                <w:szCs w:val="22"/>
              </w:rPr>
            </w:pPr>
            <w:r>
              <w:rPr>
                <w:sz w:val="22"/>
                <w:szCs w:val="22"/>
              </w:rPr>
              <w:t>0.004***</w:t>
            </w:r>
          </w:p>
        </w:tc>
        <w:tc>
          <w:tcPr>
            <w:tcW w:w="1428" w:type="dxa"/>
            <w:gridSpan w:val="2"/>
            <w:tcBorders>
              <w:top w:val="nil"/>
              <w:left w:val="nil"/>
              <w:bottom w:val="nil"/>
              <w:right w:val="nil"/>
            </w:tcBorders>
            <w:shd w:val="clear" w:color="000000" w:fill="FFFFFF"/>
            <w:vAlign w:val="center"/>
            <w:hideMark/>
          </w:tcPr>
          <w:p w14:paraId="12C68441" w14:textId="77777777" w:rsidR="00807428" w:rsidRDefault="00807428" w:rsidP="00363DD6">
            <w:pPr>
              <w:jc w:val="center"/>
              <w:rPr>
                <w:sz w:val="22"/>
                <w:szCs w:val="22"/>
              </w:rPr>
            </w:pPr>
            <w:r>
              <w:rPr>
                <w:sz w:val="22"/>
                <w:szCs w:val="22"/>
              </w:rPr>
              <w:t>0.003***</w:t>
            </w:r>
          </w:p>
        </w:tc>
      </w:tr>
      <w:tr w:rsidR="00807428" w:rsidRPr="0025020B" w14:paraId="17BCAE5A" w14:textId="77777777" w:rsidTr="00363DD6">
        <w:trPr>
          <w:trHeight w:val="20"/>
        </w:trPr>
        <w:tc>
          <w:tcPr>
            <w:tcW w:w="3380" w:type="dxa"/>
            <w:tcBorders>
              <w:top w:val="nil"/>
              <w:left w:val="nil"/>
              <w:bottom w:val="nil"/>
              <w:right w:val="nil"/>
            </w:tcBorders>
            <w:shd w:val="clear" w:color="000000" w:fill="FFFFFF"/>
            <w:vAlign w:val="center"/>
            <w:hideMark/>
          </w:tcPr>
          <w:p w14:paraId="144E46FE"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A062803" w14:textId="77777777" w:rsidR="00807428" w:rsidRDefault="00807428" w:rsidP="00363DD6">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7939B53B" w14:textId="77777777" w:rsidR="00807428" w:rsidRDefault="00807428" w:rsidP="00363DD6">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35EA96D7" w14:textId="77777777" w:rsidR="00807428" w:rsidRDefault="00807428" w:rsidP="00363DD6">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03A97A12" w14:textId="77777777" w:rsidR="00807428" w:rsidRDefault="00807428" w:rsidP="00363DD6">
            <w:pPr>
              <w:jc w:val="center"/>
              <w:rPr>
                <w:sz w:val="22"/>
                <w:szCs w:val="22"/>
              </w:rPr>
            </w:pPr>
            <w:r>
              <w:rPr>
                <w:sz w:val="22"/>
                <w:szCs w:val="22"/>
              </w:rPr>
              <w:t>(0.00)</w:t>
            </w:r>
          </w:p>
        </w:tc>
      </w:tr>
      <w:tr w:rsidR="00807428" w:rsidRPr="0025020B" w14:paraId="17692C88" w14:textId="77777777" w:rsidTr="00363DD6">
        <w:trPr>
          <w:trHeight w:val="20"/>
        </w:trPr>
        <w:tc>
          <w:tcPr>
            <w:tcW w:w="3380" w:type="dxa"/>
            <w:tcBorders>
              <w:top w:val="nil"/>
              <w:left w:val="nil"/>
              <w:bottom w:val="nil"/>
              <w:right w:val="nil"/>
            </w:tcBorders>
            <w:shd w:val="clear" w:color="000000" w:fill="FFFFFF"/>
            <w:vAlign w:val="center"/>
            <w:hideMark/>
          </w:tcPr>
          <w:p w14:paraId="3C7973CF" w14:textId="77777777" w:rsidR="00807428" w:rsidRPr="0025020B" w:rsidRDefault="00807428" w:rsidP="00363DD6">
            <w:pPr>
              <w:rPr>
                <w:color w:val="000000"/>
                <w:sz w:val="21"/>
                <w:szCs w:val="21"/>
              </w:rPr>
            </w:pPr>
            <w:r w:rsidRPr="0025020B">
              <w:rPr>
                <w:color w:val="000000"/>
                <w:sz w:val="21"/>
                <w:szCs w:val="21"/>
              </w:rPr>
              <w:t>LTV</w:t>
            </w:r>
          </w:p>
        </w:tc>
        <w:tc>
          <w:tcPr>
            <w:tcW w:w="1427" w:type="dxa"/>
            <w:tcBorders>
              <w:top w:val="nil"/>
              <w:left w:val="nil"/>
              <w:bottom w:val="nil"/>
              <w:right w:val="nil"/>
            </w:tcBorders>
            <w:shd w:val="clear" w:color="000000" w:fill="FFFFFF"/>
            <w:vAlign w:val="center"/>
            <w:hideMark/>
          </w:tcPr>
          <w:p w14:paraId="1A5CA01F" w14:textId="77777777" w:rsidR="00807428" w:rsidRDefault="00807428" w:rsidP="00363DD6">
            <w:pPr>
              <w:jc w:val="center"/>
              <w:rPr>
                <w:sz w:val="22"/>
                <w:szCs w:val="22"/>
              </w:rPr>
            </w:pPr>
            <w:r>
              <w:rPr>
                <w:sz w:val="22"/>
                <w:szCs w:val="22"/>
              </w:rPr>
              <w:t>0.009***</w:t>
            </w:r>
          </w:p>
        </w:tc>
        <w:tc>
          <w:tcPr>
            <w:tcW w:w="1428" w:type="dxa"/>
            <w:gridSpan w:val="3"/>
            <w:tcBorders>
              <w:top w:val="nil"/>
              <w:left w:val="nil"/>
              <w:bottom w:val="nil"/>
              <w:right w:val="nil"/>
            </w:tcBorders>
            <w:shd w:val="clear" w:color="000000" w:fill="FFFFFF"/>
            <w:vAlign w:val="center"/>
            <w:hideMark/>
          </w:tcPr>
          <w:p w14:paraId="6E778985" w14:textId="77777777" w:rsidR="00807428" w:rsidRDefault="00807428" w:rsidP="00363DD6">
            <w:pPr>
              <w:jc w:val="center"/>
              <w:rPr>
                <w:sz w:val="22"/>
                <w:szCs w:val="22"/>
              </w:rPr>
            </w:pPr>
            <w:r>
              <w:rPr>
                <w:sz w:val="22"/>
                <w:szCs w:val="22"/>
              </w:rPr>
              <w:t>0.011***</w:t>
            </w:r>
          </w:p>
        </w:tc>
        <w:tc>
          <w:tcPr>
            <w:tcW w:w="1427" w:type="dxa"/>
            <w:tcBorders>
              <w:top w:val="nil"/>
              <w:left w:val="nil"/>
              <w:bottom w:val="nil"/>
              <w:right w:val="nil"/>
            </w:tcBorders>
            <w:shd w:val="clear" w:color="000000" w:fill="FFFFFF"/>
            <w:vAlign w:val="center"/>
            <w:hideMark/>
          </w:tcPr>
          <w:p w14:paraId="7AE39F5C" w14:textId="77777777" w:rsidR="00807428" w:rsidRDefault="00807428" w:rsidP="00363DD6">
            <w:pPr>
              <w:jc w:val="center"/>
              <w:rPr>
                <w:sz w:val="22"/>
                <w:szCs w:val="22"/>
              </w:rPr>
            </w:pPr>
            <w:r>
              <w:rPr>
                <w:sz w:val="22"/>
                <w:szCs w:val="22"/>
              </w:rPr>
              <w:t>0.009***</w:t>
            </w:r>
          </w:p>
        </w:tc>
        <w:tc>
          <w:tcPr>
            <w:tcW w:w="1428" w:type="dxa"/>
            <w:gridSpan w:val="2"/>
            <w:tcBorders>
              <w:top w:val="nil"/>
              <w:left w:val="nil"/>
              <w:bottom w:val="nil"/>
              <w:right w:val="nil"/>
            </w:tcBorders>
            <w:shd w:val="clear" w:color="000000" w:fill="FFFFFF"/>
            <w:vAlign w:val="center"/>
            <w:hideMark/>
          </w:tcPr>
          <w:p w14:paraId="096589EE" w14:textId="77777777" w:rsidR="00807428" w:rsidRDefault="00807428" w:rsidP="00363DD6">
            <w:pPr>
              <w:jc w:val="center"/>
              <w:rPr>
                <w:sz w:val="22"/>
                <w:szCs w:val="22"/>
              </w:rPr>
            </w:pPr>
            <w:r>
              <w:rPr>
                <w:sz w:val="22"/>
                <w:szCs w:val="22"/>
              </w:rPr>
              <w:t>0.007***</w:t>
            </w:r>
          </w:p>
        </w:tc>
      </w:tr>
      <w:tr w:rsidR="00807428" w:rsidRPr="0025020B" w14:paraId="528A8574" w14:textId="77777777" w:rsidTr="00363DD6">
        <w:trPr>
          <w:trHeight w:val="20"/>
        </w:trPr>
        <w:tc>
          <w:tcPr>
            <w:tcW w:w="3380" w:type="dxa"/>
            <w:tcBorders>
              <w:top w:val="nil"/>
              <w:left w:val="nil"/>
              <w:bottom w:val="nil"/>
              <w:right w:val="nil"/>
            </w:tcBorders>
            <w:shd w:val="clear" w:color="000000" w:fill="FFFFFF"/>
            <w:vAlign w:val="center"/>
            <w:hideMark/>
          </w:tcPr>
          <w:p w14:paraId="38DE124E"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A711D51" w14:textId="77777777" w:rsidR="00807428" w:rsidRDefault="00807428" w:rsidP="00363DD6">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207E843E" w14:textId="77777777" w:rsidR="00807428" w:rsidRDefault="00807428" w:rsidP="00363DD6">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30A413DE" w14:textId="77777777" w:rsidR="00807428" w:rsidRDefault="00807428" w:rsidP="00363DD6">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219B0138" w14:textId="77777777" w:rsidR="00807428" w:rsidRDefault="00807428" w:rsidP="00363DD6">
            <w:pPr>
              <w:jc w:val="center"/>
              <w:rPr>
                <w:sz w:val="22"/>
                <w:szCs w:val="22"/>
              </w:rPr>
            </w:pPr>
            <w:r>
              <w:rPr>
                <w:sz w:val="22"/>
                <w:szCs w:val="22"/>
              </w:rPr>
              <w:t>(0.00)</w:t>
            </w:r>
          </w:p>
        </w:tc>
      </w:tr>
      <w:tr w:rsidR="00807428" w:rsidRPr="0025020B" w14:paraId="7F5BB30A" w14:textId="77777777" w:rsidTr="00363DD6">
        <w:trPr>
          <w:trHeight w:val="20"/>
        </w:trPr>
        <w:tc>
          <w:tcPr>
            <w:tcW w:w="3380" w:type="dxa"/>
            <w:tcBorders>
              <w:top w:val="nil"/>
              <w:left w:val="nil"/>
              <w:bottom w:val="nil"/>
              <w:right w:val="nil"/>
            </w:tcBorders>
            <w:shd w:val="clear" w:color="000000" w:fill="FFFFFF"/>
            <w:vAlign w:val="center"/>
            <w:hideMark/>
          </w:tcPr>
          <w:p w14:paraId="272E9141" w14:textId="77777777" w:rsidR="00807428" w:rsidRPr="0025020B" w:rsidRDefault="00807428" w:rsidP="00363DD6">
            <w:pPr>
              <w:rPr>
                <w:color w:val="000000"/>
                <w:sz w:val="21"/>
                <w:szCs w:val="21"/>
              </w:rPr>
            </w:pPr>
            <w:r w:rsidRPr="0025020B">
              <w:rPr>
                <w:color w:val="000000"/>
                <w:sz w:val="21"/>
                <w:szCs w:val="21"/>
              </w:rPr>
              <w:t>Origination charges (1,000s)</w:t>
            </w:r>
          </w:p>
        </w:tc>
        <w:tc>
          <w:tcPr>
            <w:tcW w:w="1427" w:type="dxa"/>
            <w:tcBorders>
              <w:top w:val="nil"/>
              <w:left w:val="nil"/>
              <w:bottom w:val="nil"/>
              <w:right w:val="nil"/>
            </w:tcBorders>
            <w:shd w:val="clear" w:color="000000" w:fill="FFFFFF"/>
            <w:vAlign w:val="center"/>
            <w:hideMark/>
          </w:tcPr>
          <w:p w14:paraId="4087237C" w14:textId="77777777" w:rsidR="00807428" w:rsidRDefault="00807428" w:rsidP="00363DD6">
            <w:pPr>
              <w:jc w:val="center"/>
              <w:rPr>
                <w:sz w:val="22"/>
                <w:szCs w:val="22"/>
              </w:rPr>
            </w:pPr>
            <w:r>
              <w:rPr>
                <w:sz w:val="22"/>
                <w:szCs w:val="22"/>
              </w:rPr>
              <w:t>0.068***</w:t>
            </w:r>
          </w:p>
        </w:tc>
        <w:tc>
          <w:tcPr>
            <w:tcW w:w="1428" w:type="dxa"/>
            <w:gridSpan w:val="3"/>
            <w:tcBorders>
              <w:top w:val="nil"/>
              <w:left w:val="nil"/>
              <w:bottom w:val="nil"/>
              <w:right w:val="nil"/>
            </w:tcBorders>
            <w:shd w:val="clear" w:color="000000" w:fill="FFFFFF"/>
            <w:vAlign w:val="center"/>
            <w:hideMark/>
          </w:tcPr>
          <w:p w14:paraId="1B6920B8" w14:textId="77777777" w:rsidR="00807428" w:rsidRDefault="00807428" w:rsidP="00363DD6">
            <w:pPr>
              <w:jc w:val="center"/>
              <w:rPr>
                <w:sz w:val="22"/>
                <w:szCs w:val="22"/>
              </w:rPr>
            </w:pPr>
            <w:r>
              <w:rPr>
                <w:sz w:val="22"/>
                <w:szCs w:val="22"/>
              </w:rPr>
              <w:t>0.065***</w:t>
            </w:r>
          </w:p>
        </w:tc>
        <w:tc>
          <w:tcPr>
            <w:tcW w:w="1427" w:type="dxa"/>
            <w:tcBorders>
              <w:top w:val="nil"/>
              <w:left w:val="nil"/>
              <w:bottom w:val="nil"/>
              <w:right w:val="nil"/>
            </w:tcBorders>
            <w:shd w:val="clear" w:color="000000" w:fill="FFFFFF"/>
            <w:vAlign w:val="center"/>
            <w:hideMark/>
          </w:tcPr>
          <w:p w14:paraId="2B18F010" w14:textId="77777777" w:rsidR="00807428" w:rsidRDefault="00807428" w:rsidP="00363DD6">
            <w:pPr>
              <w:jc w:val="center"/>
              <w:rPr>
                <w:sz w:val="22"/>
                <w:szCs w:val="22"/>
              </w:rPr>
            </w:pPr>
            <w:r>
              <w:rPr>
                <w:sz w:val="22"/>
                <w:szCs w:val="22"/>
              </w:rPr>
              <w:t>0.062***</w:t>
            </w:r>
          </w:p>
        </w:tc>
        <w:tc>
          <w:tcPr>
            <w:tcW w:w="1428" w:type="dxa"/>
            <w:gridSpan w:val="2"/>
            <w:tcBorders>
              <w:top w:val="nil"/>
              <w:left w:val="nil"/>
              <w:bottom w:val="nil"/>
              <w:right w:val="nil"/>
            </w:tcBorders>
            <w:shd w:val="clear" w:color="000000" w:fill="FFFFFF"/>
            <w:vAlign w:val="center"/>
            <w:hideMark/>
          </w:tcPr>
          <w:p w14:paraId="76BE58A5" w14:textId="77777777" w:rsidR="00807428" w:rsidRDefault="00807428" w:rsidP="00363DD6">
            <w:pPr>
              <w:jc w:val="center"/>
              <w:rPr>
                <w:sz w:val="22"/>
                <w:szCs w:val="22"/>
              </w:rPr>
            </w:pPr>
            <w:r>
              <w:rPr>
                <w:sz w:val="22"/>
                <w:szCs w:val="22"/>
              </w:rPr>
              <w:t>0.060***</w:t>
            </w:r>
          </w:p>
        </w:tc>
      </w:tr>
      <w:tr w:rsidR="00807428" w:rsidRPr="0025020B" w14:paraId="3D0AEA31" w14:textId="77777777" w:rsidTr="00363DD6">
        <w:trPr>
          <w:trHeight w:val="20"/>
        </w:trPr>
        <w:tc>
          <w:tcPr>
            <w:tcW w:w="3380" w:type="dxa"/>
            <w:tcBorders>
              <w:top w:val="nil"/>
              <w:left w:val="nil"/>
              <w:bottom w:val="nil"/>
              <w:right w:val="nil"/>
            </w:tcBorders>
            <w:shd w:val="clear" w:color="000000" w:fill="FFFFFF"/>
            <w:vAlign w:val="center"/>
            <w:hideMark/>
          </w:tcPr>
          <w:p w14:paraId="7BF085A2"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543938F" w14:textId="77777777" w:rsidR="00807428" w:rsidRDefault="00807428" w:rsidP="00363DD6">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1C80AA98" w14:textId="77777777" w:rsidR="00807428" w:rsidRDefault="00807428" w:rsidP="00363DD6">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0F1D544D" w14:textId="77777777" w:rsidR="00807428" w:rsidRDefault="00807428" w:rsidP="00363DD6">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7337C198" w14:textId="77777777" w:rsidR="00807428" w:rsidRDefault="00807428" w:rsidP="00363DD6">
            <w:pPr>
              <w:jc w:val="center"/>
              <w:rPr>
                <w:sz w:val="22"/>
                <w:szCs w:val="22"/>
              </w:rPr>
            </w:pPr>
            <w:r>
              <w:rPr>
                <w:sz w:val="22"/>
                <w:szCs w:val="22"/>
              </w:rPr>
              <w:t>(0.00)</w:t>
            </w:r>
          </w:p>
        </w:tc>
      </w:tr>
      <w:tr w:rsidR="00807428" w:rsidRPr="0025020B" w14:paraId="40475AFC" w14:textId="77777777" w:rsidTr="00363DD6">
        <w:trPr>
          <w:trHeight w:val="20"/>
        </w:trPr>
        <w:tc>
          <w:tcPr>
            <w:tcW w:w="3380" w:type="dxa"/>
            <w:tcBorders>
              <w:top w:val="nil"/>
              <w:left w:val="nil"/>
              <w:bottom w:val="nil"/>
              <w:right w:val="nil"/>
            </w:tcBorders>
            <w:shd w:val="clear" w:color="000000" w:fill="FFFFFF"/>
            <w:vAlign w:val="center"/>
            <w:hideMark/>
          </w:tcPr>
          <w:p w14:paraId="66C72AF2" w14:textId="77777777" w:rsidR="00807428" w:rsidRPr="0025020B" w:rsidRDefault="00807428" w:rsidP="00363DD6">
            <w:pPr>
              <w:rPr>
                <w:color w:val="000000"/>
                <w:sz w:val="21"/>
                <w:szCs w:val="21"/>
              </w:rPr>
            </w:pPr>
            <w:r w:rsidRPr="0025020B">
              <w:rPr>
                <w:color w:val="000000"/>
                <w:sz w:val="21"/>
                <w:szCs w:val="21"/>
              </w:rPr>
              <w:t>Discount points (1,000s)</w:t>
            </w:r>
          </w:p>
        </w:tc>
        <w:tc>
          <w:tcPr>
            <w:tcW w:w="1427" w:type="dxa"/>
            <w:tcBorders>
              <w:top w:val="nil"/>
              <w:left w:val="nil"/>
              <w:bottom w:val="nil"/>
              <w:right w:val="nil"/>
            </w:tcBorders>
            <w:shd w:val="clear" w:color="000000" w:fill="FFFFFF"/>
            <w:vAlign w:val="center"/>
            <w:hideMark/>
          </w:tcPr>
          <w:p w14:paraId="01C77B42" w14:textId="77777777" w:rsidR="00807428" w:rsidRDefault="00807428" w:rsidP="00363DD6">
            <w:pPr>
              <w:jc w:val="center"/>
              <w:rPr>
                <w:sz w:val="22"/>
                <w:szCs w:val="22"/>
              </w:rPr>
            </w:pPr>
            <w:r>
              <w:rPr>
                <w:sz w:val="22"/>
                <w:szCs w:val="22"/>
              </w:rPr>
              <w:t>-0.027***</w:t>
            </w:r>
          </w:p>
        </w:tc>
        <w:tc>
          <w:tcPr>
            <w:tcW w:w="1428" w:type="dxa"/>
            <w:gridSpan w:val="3"/>
            <w:tcBorders>
              <w:top w:val="nil"/>
              <w:left w:val="nil"/>
              <w:bottom w:val="nil"/>
              <w:right w:val="nil"/>
            </w:tcBorders>
            <w:shd w:val="clear" w:color="000000" w:fill="FFFFFF"/>
            <w:vAlign w:val="center"/>
            <w:hideMark/>
          </w:tcPr>
          <w:p w14:paraId="5CD03152" w14:textId="77777777" w:rsidR="00807428" w:rsidRDefault="00807428" w:rsidP="00363DD6">
            <w:pPr>
              <w:jc w:val="center"/>
              <w:rPr>
                <w:sz w:val="22"/>
                <w:szCs w:val="22"/>
              </w:rPr>
            </w:pPr>
            <w:r>
              <w:rPr>
                <w:sz w:val="22"/>
                <w:szCs w:val="22"/>
              </w:rPr>
              <w:t>-0.026***</w:t>
            </w:r>
          </w:p>
        </w:tc>
        <w:tc>
          <w:tcPr>
            <w:tcW w:w="1427" w:type="dxa"/>
            <w:tcBorders>
              <w:top w:val="nil"/>
              <w:left w:val="nil"/>
              <w:bottom w:val="nil"/>
              <w:right w:val="nil"/>
            </w:tcBorders>
            <w:shd w:val="clear" w:color="000000" w:fill="FFFFFF"/>
            <w:vAlign w:val="center"/>
            <w:hideMark/>
          </w:tcPr>
          <w:p w14:paraId="3A010649" w14:textId="77777777" w:rsidR="00807428" w:rsidRDefault="00807428" w:rsidP="00363DD6">
            <w:pPr>
              <w:jc w:val="center"/>
              <w:rPr>
                <w:sz w:val="22"/>
                <w:szCs w:val="22"/>
              </w:rPr>
            </w:pPr>
            <w:r>
              <w:rPr>
                <w:sz w:val="22"/>
                <w:szCs w:val="22"/>
              </w:rPr>
              <w:t>-0.025***</w:t>
            </w:r>
          </w:p>
        </w:tc>
        <w:tc>
          <w:tcPr>
            <w:tcW w:w="1428" w:type="dxa"/>
            <w:gridSpan w:val="2"/>
            <w:tcBorders>
              <w:top w:val="nil"/>
              <w:left w:val="nil"/>
              <w:bottom w:val="nil"/>
              <w:right w:val="nil"/>
            </w:tcBorders>
            <w:shd w:val="clear" w:color="000000" w:fill="FFFFFF"/>
            <w:vAlign w:val="center"/>
            <w:hideMark/>
          </w:tcPr>
          <w:p w14:paraId="545AF3C9" w14:textId="77777777" w:rsidR="00807428" w:rsidRDefault="00807428" w:rsidP="00363DD6">
            <w:pPr>
              <w:jc w:val="center"/>
              <w:rPr>
                <w:sz w:val="22"/>
                <w:szCs w:val="22"/>
              </w:rPr>
            </w:pPr>
            <w:r>
              <w:rPr>
                <w:sz w:val="22"/>
                <w:szCs w:val="22"/>
              </w:rPr>
              <w:t>-0.024***</w:t>
            </w:r>
          </w:p>
        </w:tc>
      </w:tr>
      <w:tr w:rsidR="00807428" w:rsidRPr="0025020B" w14:paraId="5F4EBCA4" w14:textId="77777777" w:rsidTr="00363DD6">
        <w:trPr>
          <w:trHeight w:val="20"/>
        </w:trPr>
        <w:tc>
          <w:tcPr>
            <w:tcW w:w="3380" w:type="dxa"/>
            <w:tcBorders>
              <w:top w:val="nil"/>
              <w:left w:val="nil"/>
              <w:bottom w:val="nil"/>
              <w:right w:val="nil"/>
            </w:tcBorders>
            <w:shd w:val="clear" w:color="000000" w:fill="FFFFFF"/>
            <w:vAlign w:val="center"/>
            <w:hideMark/>
          </w:tcPr>
          <w:p w14:paraId="0C7A3DC8"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8A0D907" w14:textId="77777777" w:rsidR="00807428" w:rsidRDefault="00807428" w:rsidP="00363DD6">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5DB2C44C" w14:textId="77777777" w:rsidR="00807428" w:rsidRDefault="00807428" w:rsidP="00363DD6">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2E2180E3" w14:textId="77777777" w:rsidR="00807428" w:rsidRDefault="00807428" w:rsidP="00363DD6">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565A3FCF" w14:textId="77777777" w:rsidR="00807428" w:rsidRDefault="00807428" w:rsidP="00363DD6">
            <w:pPr>
              <w:jc w:val="center"/>
              <w:rPr>
                <w:sz w:val="22"/>
                <w:szCs w:val="22"/>
              </w:rPr>
            </w:pPr>
            <w:r>
              <w:rPr>
                <w:sz w:val="22"/>
                <w:szCs w:val="22"/>
              </w:rPr>
              <w:t>(0.00)</w:t>
            </w:r>
          </w:p>
        </w:tc>
      </w:tr>
      <w:tr w:rsidR="00807428" w:rsidRPr="0025020B" w14:paraId="21881041" w14:textId="77777777" w:rsidTr="00363DD6">
        <w:trPr>
          <w:trHeight w:val="20"/>
        </w:trPr>
        <w:tc>
          <w:tcPr>
            <w:tcW w:w="3380" w:type="dxa"/>
            <w:tcBorders>
              <w:top w:val="nil"/>
              <w:left w:val="nil"/>
              <w:bottom w:val="nil"/>
              <w:right w:val="nil"/>
            </w:tcBorders>
            <w:shd w:val="clear" w:color="000000" w:fill="FFFFFF"/>
            <w:vAlign w:val="center"/>
            <w:hideMark/>
          </w:tcPr>
          <w:p w14:paraId="6AA7D49D" w14:textId="77777777" w:rsidR="00807428" w:rsidRPr="0025020B" w:rsidRDefault="00807428" w:rsidP="00363DD6">
            <w:pPr>
              <w:rPr>
                <w:color w:val="000000"/>
                <w:sz w:val="21"/>
                <w:szCs w:val="21"/>
              </w:rPr>
            </w:pPr>
            <w:r w:rsidRPr="0025020B">
              <w:rPr>
                <w:color w:val="000000"/>
                <w:sz w:val="21"/>
                <w:szCs w:val="21"/>
              </w:rPr>
              <w:t>Conventional loan</w:t>
            </w:r>
          </w:p>
        </w:tc>
        <w:tc>
          <w:tcPr>
            <w:tcW w:w="1427" w:type="dxa"/>
            <w:tcBorders>
              <w:top w:val="nil"/>
              <w:left w:val="nil"/>
              <w:bottom w:val="nil"/>
              <w:right w:val="nil"/>
            </w:tcBorders>
            <w:shd w:val="clear" w:color="000000" w:fill="FFFFFF"/>
            <w:vAlign w:val="center"/>
            <w:hideMark/>
          </w:tcPr>
          <w:p w14:paraId="43948099" w14:textId="77777777" w:rsidR="00807428" w:rsidRDefault="00807428" w:rsidP="00363DD6">
            <w:pPr>
              <w:jc w:val="center"/>
              <w:rPr>
                <w:sz w:val="22"/>
                <w:szCs w:val="22"/>
              </w:rPr>
            </w:pPr>
            <w:r>
              <w:rPr>
                <w:sz w:val="22"/>
                <w:szCs w:val="22"/>
              </w:rPr>
              <w:t>-0.350***</w:t>
            </w:r>
          </w:p>
        </w:tc>
        <w:tc>
          <w:tcPr>
            <w:tcW w:w="1428" w:type="dxa"/>
            <w:gridSpan w:val="3"/>
            <w:tcBorders>
              <w:top w:val="nil"/>
              <w:left w:val="nil"/>
              <w:bottom w:val="nil"/>
              <w:right w:val="nil"/>
            </w:tcBorders>
            <w:shd w:val="clear" w:color="000000" w:fill="FFFFFF"/>
            <w:vAlign w:val="center"/>
            <w:hideMark/>
          </w:tcPr>
          <w:p w14:paraId="33164733" w14:textId="77777777" w:rsidR="00807428" w:rsidRDefault="00807428" w:rsidP="00363DD6">
            <w:pPr>
              <w:jc w:val="center"/>
              <w:rPr>
                <w:sz w:val="22"/>
                <w:szCs w:val="22"/>
              </w:rPr>
            </w:pPr>
            <w:r>
              <w:rPr>
                <w:sz w:val="22"/>
                <w:szCs w:val="22"/>
              </w:rPr>
              <w:t>-0.210***</w:t>
            </w:r>
          </w:p>
        </w:tc>
        <w:tc>
          <w:tcPr>
            <w:tcW w:w="1427" w:type="dxa"/>
            <w:tcBorders>
              <w:top w:val="nil"/>
              <w:left w:val="nil"/>
              <w:bottom w:val="nil"/>
              <w:right w:val="nil"/>
            </w:tcBorders>
            <w:shd w:val="clear" w:color="000000" w:fill="FFFFFF"/>
            <w:vAlign w:val="center"/>
            <w:hideMark/>
          </w:tcPr>
          <w:p w14:paraId="78B62C4B" w14:textId="77777777" w:rsidR="00807428" w:rsidRDefault="00807428" w:rsidP="00363DD6">
            <w:pPr>
              <w:jc w:val="center"/>
              <w:rPr>
                <w:sz w:val="22"/>
                <w:szCs w:val="22"/>
              </w:rPr>
            </w:pPr>
            <w:r>
              <w:rPr>
                <w:sz w:val="22"/>
                <w:szCs w:val="22"/>
              </w:rPr>
              <w:t>-0.345***</w:t>
            </w:r>
          </w:p>
        </w:tc>
        <w:tc>
          <w:tcPr>
            <w:tcW w:w="1428" w:type="dxa"/>
            <w:gridSpan w:val="2"/>
            <w:tcBorders>
              <w:top w:val="nil"/>
              <w:left w:val="nil"/>
              <w:bottom w:val="nil"/>
              <w:right w:val="nil"/>
            </w:tcBorders>
            <w:shd w:val="clear" w:color="000000" w:fill="FFFFFF"/>
            <w:vAlign w:val="center"/>
            <w:hideMark/>
          </w:tcPr>
          <w:p w14:paraId="7FCE1EFF" w14:textId="77777777" w:rsidR="00807428" w:rsidRDefault="00807428" w:rsidP="00363DD6">
            <w:pPr>
              <w:jc w:val="center"/>
              <w:rPr>
                <w:sz w:val="22"/>
                <w:szCs w:val="22"/>
              </w:rPr>
            </w:pPr>
            <w:r>
              <w:rPr>
                <w:sz w:val="22"/>
                <w:szCs w:val="22"/>
              </w:rPr>
              <w:t>-0.393***</w:t>
            </w:r>
          </w:p>
        </w:tc>
      </w:tr>
      <w:tr w:rsidR="00807428" w:rsidRPr="0025020B" w14:paraId="64C839C6" w14:textId="77777777" w:rsidTr="00363DD6">
        <w:trPr>
          <w:trHeight w:val="20"/>
        </w:trPr>
        <w:tc>
          <w:tcPr>
            <w:tcW w:w="3380" w:type="dxa"/>
            <w:tcBorders>
              <w:top w:val="nil"/>
              <w:left w:val="nil"/>
              <w:bottom w:val="nil"/>
              <w:right w:val="nil"/>
            </w:tcBorders>
            <w:shd w:val="clear" w:color="000000" w:fill="FFFFFF"/>
            <w:vAlign w:val="center"/>
            <w:hideMark/>
          </w:tcPr>
          <w:p w14:paraId="7BE44B93"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0344EED" w14:textId="77777777" w:rsidR="00807428" w:rsidRDefault="00807428" w:rsidP="00363DD6">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71C48BC6" w14:textId="77777777" w:rsidR="00807428" w:rsidRDefault="00807428" w:rsidP="00363DD6">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1C33152F" w14:textId="77777777" w:rsidR="00807428" w:rsidRDefault="00807428" w:rsidP="00363DD6">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6EC05D4D" w14:textId="77777777" w:rsidR="00807428" w:rsidRDefault="00807428" w:rsidP="00363DD6">
            <w:pPr>
              <w:jc w:val="center"/>
              <w:rPr>
                <w:sz w:val="22"/>
                <w:szCs w:val="22"/>
              </w:rPr>
            </w:pPr>
            <w:r>
              <w:rPr>
                <w:sz w:val="22"/>
                <w:szCs w:val="22"/>
              </w:rPr>
              <w:t>(0.01)</w:t>
            </w:r>
          </w:p>
        </w:tc>
      </w:tr>
      <w:tr w:rsidR="00807428" w:rsidRPr="0025020B" w14:paraId="6376E3C2" w14:textId="77777777" w:rsidTr="00363DD6">
        <w:trPr>
          <w:trHeight w:val="20"/>
        </w:trPr>
        <w:tc>
          <w:tcPr>
            <w:tcW w:w="3380" w:type="dxa"/>
            <w:tcBorders>
              <w:top w:val="nil"/>
              <w:left w:val="nil"/>
              <w:bottom w:val="nil"/>
              <w:right w:val="nil"/>
            </w:tcBorders>
            <w:shd w:val="clear" w:color="000000" w:fill="FFFFFF"/>
            <w:vAlign w:val="center"/>
            <w:hideMark/>
          </w:tcPr>
          <w:p w14:paraId="705D42DC" w14:textId="77777777" w:rsidR="00807428" w:rsidRPr="0025020B" w:rsidRDefault="00807428" w:rsidP="00363DD6">
            <w:pPr>
              <w:rPr>
                <w:color w:val="000000"/>
                <w:sz w:val="21"/>
                <w:szCs w:val="21"/>
              </w:rPr>
            </w:pPr>
            <w:r w:rsidRPr="0025020B">
              <w:rPr>
                <w:color w:val="000000"/>
                <w:sz w:val="21"/>
                <w:szCs w:val="21"/>
              </w:rPr>
              <w:t>Loan term (months)</w:t>
            </w:r>
          </w:p>
        </w:tc>
        <w:tc>
          <w:tcPr>
            <w:tcW w:w="1427" w:type="dxa"/>
            <w:tcBorders>
              <w:top w:val="nil"/>
              <w:left w:val="nil"/>
              <w:bottom w:val="nil"/>
              <w:right w:val="nil"/>
            </w:tcBorders>
            <w:shd w:val="clear" w:color="000000" w:fill="FFFFFF"/>
            <w:vAlign w:val="center"/>
            <w:hideMark/>
          </w:tcPr>
          <w:p w14:paraId="44DADB45" w14:textId="77777777" w:rsidR="00807428" w:rsidRDefault="00807428" w:rsidP="00363DD6">
            <w:pPr>
              <w:jc w:val="center"/>
              <w:rPr>
                <w:sz w:val="22"/>
                <w:szCs w:val="22"/>
              </w:rPr>
            </w:pPr>
            <w:r>
              <w:rPr>
                <w:sz w:val="22"/>
                <w:szCs w:val="22"/>
              </w:rPr>
              <w:t>-0.002***</w:t>
            </w:r>
          </w:p>
        </w:tc>
        <w:tc>
          <w:tcPr>
            <w:tcW w:w="1428" w:type="dxa"/>
            <w:gridSpan w:val="3"/>
            <w:tcBorders>
              <w:top w:val="nil"/>
              <w:left w:val="nil"/>
              <w:bottom w:val="nil"/>
              <w:right w:val="nil"/>
            </w:tcBorders>
            <w:shd w:val="clear" w:color="000000" w:fill="FFFFFF"/>
            <w:vAlign w:val="center"/>
            <w:hideMark/>
          </w:tcPr>
          <w:p w14:paraId="1B1ACEE5" w14:textId="77777777" w:rsidR="00807428" w:rsidRDefault="00807428" w:rsidP="00363DD6">
            <w:pPr>
              <w:jc w:val="center"/>
              <w:rPr>
                <w:sz w:val="22"/>
                <w:szCs w:val="22"/>
              </w:rPr>
            </w:pPr>
            <w:r>
              <w:rPr>
                <w:sz w:val="22"/>
                <w:szCs w:val="22"/>
              </w:rPr>
              <w:t>-0.002***</w:t>
            </w:r>
          </w:p>
        </w:tc>
        <w:tc>
          <w:tcPr>
            <w:tcW w:w="1427" w:type="dxa"/>
            <w:tcBorders>
              <w:top w:val="nil"/>
              <w:left w:val="nil"/>
              <w:bottom w:val="nil"/>
              <w:right w:val="nil"/>
            </w:tcBorders>
            <w:shd w:val="clear" w:color="000000" w:fill="FFFFFF"/>
            <w:vAlign w:val="center"/>
            <w:hideMark/>
          </w:tcPr>
          <w:p w14:paraId="6E7FDF16" w14:textId="77777777" w:rsidR="00807428" w:rsidRDefault="00807428" w:rsidP="00363DD6">
            <w:pPr>
              <w:jc w:val="center"/>
              <w:rPr>
                <w:sz w:val="22"/>
                <w:szCs w:val="22"/>
              </w:rPr>
            </w:pPr>
            <w:r>
              <w:rPr>
                <w:sz w:val="22"/>
                <w:szCs w:val="22"/>
              </w:rPr>
              <w:t>-0.001***</w:t>
            </w:r>
          </w:p>
        </w:tc>
        <w:tc>
          <w:tcPr>
            <w:tcW w:w="1428" w:type="dxa"/>
            <w:gridSpan w:val="2"/>
            <w:tcBorders>
              <w:top w:val="nil"/>
              <w:left w:val="nil"/>
              <w:bottom w:val="nil"/>
              <w:right w:val="nil"/>
            </w:tcBorders>
            <w:shd w:val="clear" w:color="000000" w:fill="FFFFFF"/>
            <w:vAlign w:val="center"/>
            <w:hideMark/>
          </w:tcPr>
          <w:p w14:paraId="3A9E3C2A" w14:textId="77777777" w:rsidR="00807428" w:rsidRDefault="00807428" w:rsidP="00363DD6">
            <w:pPr>
              <w:jc w:val="center"/>
              <w:rPr>
                <w:sz w:val="22"/>
                <w:szCs w:val="22"/>
              </w:rPr>
            </w:pPr>
            <w:r>
              <w:rPr>
                <w:sz w:val="22"/>
                <w:szCs w:val="22"/>
              </w:rPr>
              <w:t>-0.001***</w:t>
            </w:r>
          </w:p>
        </w:tc>
      </w:tr>
      <w:tr w:rsidR="00807428" w:rsidRPr="0025020B" w14:paraId="7C711BF9" w14:textId="77777777" w:rsidTr="00363DD6">
        <w:trPr>
          <w:trHeight w:val="20"/>
        </w:trPr>
        <w:tc>
          <w:tcPr>
            <w:tcW w:w="3380" w:type="dxa"/>
            <w:tcBorders>
              <w:top w:val="nil"/>
              <w:left w:val="nil"/>
              <w:bottom w:val="nil"/>
              <w:right w:val="nil"/>
            </w:tcBorders>
            <w:shd w:val="clear" w:color="000000" w:fill="FFFFFF"/>
            <w:vAlign w:val="center"/>
            <w:hideMark/>
          </w:tcPr>
          <w:p w14:paraId="630C74C6"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FE8ADF6" w14:textId="77777777" w:rsidR="00807428" w:rsidRDefault="00807428" w:rsidP="00363DD6">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4C66B4FF" w14:textId="77777777" w:rsidR="00807428" w:rsidRDefault="00807428" w:rsidP="00363DD6">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1B3A7394" w14:textId="77777777" w:rsidR="00807428" w:rsidRDefault="00807428" w:rsidP="00363DD6">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2C70BF8C" w14:textId="77777777" w:rsidR="00807428" w:rsidRDefault="00807428" w:rsidP="00363DD6">
            <w:pPr>
              <w:jc w:val="center"/>
              <w:rPr>
                <w:sz w:val="22"/>
                <w:szCs w:val="22"/>
              </w:rPr>
            </w:pPr>
            <w:r>
              <w:rPr>
                <w:sz w:val="22"/>
                <w:szCs w:val="22"/>
              </w:rPr>
              <w:t>(0.00)</w:t>
            </w:r>
          </w:p>
        </w:tc>
      </w:tr>
      <w:tr w:rsidR="00807428" w:rsidRPr="0025020B" w14:paraId="00242F95" w14:textId="77777777" w:rsidTr="00363DD6">
        <w:trPr>
          <w:trHeight w:val="20"/>
        </w:trPr>
        <w:tc>
          <w:tcPr>
            <w:tcW w:w="3380" w:type="dxa"/>
            <w:tcBorders>
              <w:top w:val="nil"/>
              <w:left w:val="nil"/>
              <w:bottom w:val="nil"/>
              <w:right w:val="nil"/>
            </w:tcBorders>
            <w:shd w:val="clear" w:color="000000" w:fill="FFFFFF"/>
            <w:vAlign w:val="center"/>
            <w:hideMark/>
          </w:tcPr>
          <w:p w14:paraId="1A4B0F8D" w14:textId="77777777" w:rsidR="00807428" w:rsidRPr="0025020B" w:rsidRDefault="00807428" w:rsidP="00363DD6">
            <w:pPr>
              <w:rPr>
                <w:color w:val="000000"/>
                <w:sz w:val="21"/>
                <w:szCs w:val="21"/>
              </w:rPr>
            </w:pPr>
            <w:r w:rsidRPr="0025020B">
              <w:rPr>
                <w:color w:val="000000"/>
                <w:sz w:val="21"/>
                <w:szCs w:val="21"/>
              </w:rPr>
              <w:t>Manufactured</w:t>
            </w:r>
          </w:p>
        </w:tc>
        <w:tc>
          <w:tcPr>
            <w:tcW w:w="1427" w:type="dxa"/>
            <w:tcBorders>
              <w:top w:val="nil"/>
              <w:left w:val="nil"/>
              <w:bottom w:val="nil"/>
              <w:right w:val="nil"/>
            </w:tcBorders>
            <w:shd w:val="clear" w:color="000000" w:fill="FFFFFF"/>
            <w:vAlign w:val="center"/>
            <w:hideMark/>
          </w:tcPr>
          <w:p w14:paraId="4CA063DF" w14:textId="77777777" w:rsidR="00807428" w:rsidRDefault="00807428" w:rsidP="00363DD6">
            <w:pPr>
              <w:jc w:val="center"/>
              <w:rPr>
                <w:sz w:val="22"/>
                <w:szCs w:val="22"/>
              </w:rPr>
            </w:pPr>
            <w:r>
              <w:rPr>
                <w:sz w:val="22"/>
                <w:szCs w:val="22"/>
              </w:rPr>
              <w:t>1.617***</w:t>
            </w:r>
          </w:p>
        </w:tc>
        <w:tc>
          <w:tcPr>
            <w:tcW w:w="1428" w:type="dxa"/>
            <w:gridSpan w:val="3"/>
            <w:tcBorders>
              <w:top w:val="nil"/>
              <w:left w:val="nil"/>
              <w:bottom w:val="nil"/>
              <w:right w:val="nil"/>
            </w:tcBorders>
            <w:shd w:val="clear" w:color="000000" w:fill="FFFFFF"/>
            <w:vAlign w:val="center"/>
            <w:hideMark/>
          </w:tcPr>
          <w:p w14:paraId="40243F13" w14:textId="77777777" w:rsidR="00807428" w:rsidRDefault="00807428" w:rsidP="00363DD6">
            <w:pPr>
              <w:jc w:val="center"/>
              <w:rPr>
                <w:sz w:val="22"/>
                <w:szCs w:val="22"/>
              </w:rPr>
            </w:pPr>
            <w:r>
              <w:rPr>
                <w:sz w:val="22"/>
                <w:szCs w:val="22"/>
              </w:rPr>
              <w:t>1.436***</w:t>
            </w:r>
          </w:p>
        </w:tc>
        <w:tc>
          <w:tcPr>
            <w:tcW w:w="1427" w:type="dxa"/>
            <w:tcBorders>
              <w:top w:val="nil"/>
              <w:left w:val="nil"/>
              <w:bottom w:val="nil"/>
              <w:right w:val="nil"/>
            </w:tcBorders>
            <w:shd w:val="clear" w:color="000000" w:fill="FFFFFF"/>
            <w:vAlign w:val="center"/>
            <w:hideMark/>
          </w:tcPr>
          <w:p w14:paraId="4994864E" w14:textId="77777777" w:rsidR="00807428" w:rsidRDefault="00807428" w:rsidP="00363DD6">
            <w:pPr>
              <w:jc w:val="center"/>
              <w:rPr>
                <w:sz w:val="22"/>
                <w:szCs w:val="22"/>
              </w:rPr>
            </w:pPr>
            <w:r>
              <w:rPr>
                <w:sz w:val="22"/>
                <w:szCs w:val="22"/>
              </w:rPr>
              <w:t>1.403***</w:t>
            </w:r>
          </w:p>
        </w:tc>
        <w:tc>
          <w:tcPr>
            <w:tcW w:w="1428" w:type="dxa"/>
            <w:gridSpan w:val="2"/>
            <w:tcBorders>
              <w:top w:val="nil"/>
              <w:left w:val="nil"/>
              <w:bottom w:val="nil"/>
              <w:right w:val="nil"/>
            </w:tcBorders>
            <w:shd w:val="clear" w:color="000000" w:fill="FFFFFF"/>
            <w:vAlign w:val="center"/>
            <w:hideMark/>
          </w:tcPr>
          <w:p w14:paraId="61F14656" w14:textId="77777777" w:rsidR="00807428" w:rsidRDefault="00807428" w:rsidP="00363DD6">
            <w:pPr>
              <w:jc w:val="center"/>
              <w:rPr>
                <w:sz w:val="22"/>
                <w:szCs w:val="22"/>
              </w:rPr>
            </w:pPr>
            <w:r>
              <w:rPr>
                <w:sz w:val="22"/>
                <w:szCs w:val="22"/>
              </w:rPr>
              <w:t>1.145***</w:t>
            </w:r>
          </w:p>
        </w:tc>
      </w:tr>
      <w:tr w:rsidR="00807428" w:rsidRPr="0025020B" w14:paraId="31F54F74" w14:textId="77777777" w:rsidTr="00363DD6">
        <w:trPr>
          <w:trHeight w:val="20"/>
        </w:trPr>
        <w:tc>
          <w:tcPr>
            <w:tcW w:w="3380" w:type="dxa"/>
            <w:tcBorders>
              <w:top w:val="nil"/>
              <w:left w:val="nil"/>
              <w:bottom w:val="nil"/>
              <w:right w:val="nil"/>
            </w:tcBorders>
            <w:shd w:val="clear" w:color="000000" w:fill="FFFFFF"/>
            <w:vAlign w:val="center"/>
            <w:hideMark/>
          </w:tcPr>
          <w:p w14:paraId="07420E8C"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C34B2CF" w14:textId="77777777" w:rsidR="00807428" w:rsidRDefault="00807428" w:rsidP="00363DD6">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5CBC558D" w14:textId="77777777" w:rsidR="00807428" w:rsidRDefault="00807428" w:rsidP="00363DD6">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402AF32B" w14:textId="77777777" w:rsidR="00807428" w:rsidRDefault="00807428" w:rsidP="00363DD6">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4ABF8F9D" w14:textId="77777777" w:rsidR="00807428" w:rsidRDefault="00807428" w:rsidP="00363DD6">
            <w:pPr>
              <w:jc w:val="center"/>
              <w:rPr>
                <w:sz w:val="22"/>
                <w:szCs w:val="22"/>
              </w:rPr>
            </w:pPr>
            <w:r>
              <w:rPr>
                <w:sz w:val="22"/>
                <w:szCs w:val="22"/>
              </w:rPr>
              <w:t>(0.02)</w:t>
            </w:r>
          </w:p>
        </w:tc>
      </w:tr>
      <w:tr w:rsidR="00807428" w:rsidRPr="0025020B" w14:paraId="1685F003" w14:textId="77777777" w:rsidTr="00363DD6">
        <w:trPr>
          <w:trHeight w:val="20"/>
        </w:trPr>
        <w:tc>
          <w:tcPr>
            <w:tcW w:w="3380" w:type="dxa"/>
            <w:tcBorders>
              <w:top w:val="nil"/>
              <w:left w:val="nil"/>
              <w:bottom w:val="nil"/>
              <w:right w:val="nil"/>
            </w:tcBorders>
            <w:shd w:val="clear" w:color="000000" w:fill="FFFFFF"/>
            <w:vAlign w:val="center"/>
            <w:hideMark/>
          </w:tcPr>
          <w:p w14:paraId="2AF5F1AE" w14:textId="77777777" w:rsidR="00807428" w:rsidRPr="0025020B" w:rsidRDefault="00807428" w:rsidP="00363DD6">
            <w:pPr>
              <w:rPr>
                <w:color w:val="000000"/>
                <w:sz w:val="21"/>
                <w:szCs w:val="21"/>
              </w:rPr>
            </w:pPr>
            <w:r w:rsidRPr="0025020B">
              <w:rPr>
                <w:color w:val="000000"/>
                <w:sz w:val="21"/>
                <w:szCs w:val="21"/>
              </w:rPr>
              <w:t>Asian</w:t>
            </w:r>
          </w:p>
        </w:tc>
        <w:tc>
          <w:tcPr>
            <w:tcW w:w="1427" w:type="dxa"/>
            <w:tcBorders>
              <w:top w:val="nil"/>
              <w:left w:val="nil"/>
              <w:bottom w:val="nil"/>
              <w:right w:val="nil"/>
            </w:tcBorders>
            <w:shd w:val="clear" w:color="000000" w:fill="FFFFFF"/>
            <w:vAlign w:val="center"/>
            <w:hideMark/>
          </w:tcPr>
          <w:p w14:paraId="38456033" w14:textId="77777777" w:rsidR="00807428" w:rsidRDefault="00807428" w:rsidP="00363DD6">
            <w:pPr>
              <w:jc w:val="center"/>
              <w:rPr>
                <w:sz w:val="22"/>
                <w:szCs w:val="22"/>
              </w:rPr>
            </w:pPr>
            <w:r>
              <w:rPr>
                <w:sz w:val="22"/>
                <w:szCs w:val="22"/>
              </w:rPr>
              <w:t>-0.017</w:t>
            </w:r>
          </w:p>
        </w:tc>
        <w:tc>
          <w:tcPr>
            <w:tcW w:w="1428" w:type="dxa"/>
            <w:gridSpan w:val="3"/>
            <w:tcBorders>
              <w:top w:val="nil"/>
              <w:left w:val="nil"/>
              <w:bottom w:val="nil"/>
              <w:right w:val="nil"/>
            </w:tcBorders>
            <w:shd w:val="clear" w:color="000000" w:fill="FFFFFF"/>
            <w:vAlign w:val="center"/>
            <w:hideMark/>
          </w:tcPr>
          <w:p w14:paraId="58886303" w14:textId="77777777" w:rsidR="00807428" w:rsidRDefault="00807428" w:rsidP="00363DD6">
            <w:pPr>
              <w:jc w:val="center"/>
              <w:rPr>
                <w:sz w:val="22"/>
                <w:szCs w:val="22"/>
              </w:rPr>
            </w:pPr>
            <w:r>
              <w:rPr>
                <w:sz w:val="22"/>
                <w:szCs w:val="22"/>
              </w:rPr>
              <w:t>-0.001</w:t>
            </w:r>
          </w:p>
        </w:tc>
        <w:tc>
          <w:tcPr>
            <w:tcW w:w="1427" w:type="dxa"/>
            <w:tcBorders>
              <w:top w:val="nil"/>
              <w:left w:val="nil"/>
              <w:bottom w:val="nil"/>
              <w:right w:val="nil"/>
            </w:tcBorders>
            <w:shd w:val="clear" w:color="000000" w:fill="FFFFFF"/>
            <w:vAlign w:val="center"/>
            <w:hideMark/>
          </w:tcPr>
          <w:p w14:paraId="034B45CE" w14:textId="77777777" w:rsidR="00807428" w:rsidRDefault="00807428" w:rsidP="00363DD6">
            <w:pPr>
              <w:jc w:val="center"/>
              <w:rPr>
                <w:sz w:val="22"/>
                <w:szCs w:val="22"/>
              </w:rPr>
            </w:pPr>
            <w:r>
              <w:rPr>
                <w:sz w:val="22"/>
                <w:szCs w:val="22"/>
              </w:rPr>
              <w:t>-0.038***</w:t>
            </w:r>
          </w:p>
        </w:tc>
        <w:tc>
          <w:tcPr>
            <w:tcW w:w="1428" w:type="dxa"/>
            <w:gridSpan w:val="2"/>
            <w:tcBorders>
              <w:top w:val="nil"/>
              <w:left w:val="nil"/>
              <w:bottom w:val="nil"/>
              <w:right w:val="nil"/>
            </w:tcBorders>
            <w:shd w:val="clear" w:color="000000" w:fill="FFFFFF"/>
            <w:vAlign w:val="center"/>
            <w:hideMark/>
          </w:tcPr>
          <w:p w14:paraId="79C1AFE5" w14:textId="77777777" w:rsidR="00807428" w:rsidRDefault="00807428" w:rsidP="00363DD6">
            <w:pPr>
              <w:jc w:val="center"/>
              <w:rPr>
                <w:sz w:val="22"/>
                <w:szCs w:val="22"/>
              </w:rPr>
            </w:pPr>
            <w:r>
              <w:rPr>
                <w:sz w:val="22"/>
                <w:szCs w:val="22"/>
              </w:rPr>
              <w:t>-0.024**</w:t>
            </w:r>
          </w:p>
        </w:tc>
      </w:tr>
      <w:tr w:rsidR="00807428" w:rsidRPr="0025020B" w14:paraId="6D8A3D3B" w14:textId="77777777" w:rsidTr="00363DD6">
        <w:trPr>
          <w:trHeight w:val="20"/>
        </w:trPr>
        <w:tc>
          <w:tcPr>
            <w:tcW w:w="3380" w:type="dxa"/>
            <w:tcBorders>
              <w:top w:val="nil"/>
              <w:left w:val="nil"/>
              <w:bottom w:val="nil"/>
              <w:right w:val="nil"/>
            </w:tcBorders>
            <w:shd w:val="clear" w:color="000000" w:fill="FFFFFF"/>
            <w:vAlign w:val="center"/>
            <w:hideMark/>
          </w:tcPr>
          <w:p w14:paraId="2B556B66"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705E666" w14:textId="77777777" w:rsidR="00807428" w:rsidRDefault="00807428" w:rsidP="00363DD6">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08648F54" w14:textId="77777777" w:rsidR="00807428" w:rsidRDefault="00807428" w:rsidP="00363DD6">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14DB4CCE" w14:textId="77777777" w:rsidR="00807428" w:rsidRDefault="00807428" w:rsidP="00363DD6">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3C1E32A8" w14:textId="77777777" w:rsidR="00807428" w:rsidRDefault="00807428" w:rsidP="00363DD6">
            <w:pPr>
              <w:jc w:val="center"/>
              <w:rPr>
                <w:sz w:val="22"/>
                <w:szCs w:val="22"/>
              </w:rPr>
            </w:pPr>
            <w:r>
              <w:rPr>
                <w:sz w:val="22"/>
                <w:szCs w:val="22"/>
              </w:rPr>
              <w:t>(0.01)</w:t>
            </w:r>
          </w:p>
        </w:tc>
      </w:tr>
      <w:tr w:rsidR="00807428" w:rsidRPr="0025020B" w14:paraId="1C2EFF15" w14:textId="77777777" w:rsidTr="00363DD6">
        <w:trPr>
          <w:trHeight w:val="20"/>
        </w:trPr>
        <w:tc>
          <w:tcPr>
            <w:tcW w:w="3380" w:type="dxa"/>
            <w:tcBorders>
              <w:top w:val="nil"/>
              <w:left w:val="nil"/>
              <w:bottom w:val="nil"/>
              <w:right w:val="nil"/>
            </w:tcBorders>
            <w:shd w:val="clear" w:color="000000" w:fill="FFFFFF"/>
            <w:vAlign w:val="center"/>
            <w:hideMark/>
          </w:tcPr>
          <w:p w14:paraId="6B5BF758" w14:textId="77777777" w:rsidR="00807428" w:rsidRPr="0025020B" w:rsidRDefault="00807428" w:rsidP="00363DD6">
            <w:pPr>
              <w:rPr>
                <w:color w:val="000000"/>
                <w:sz w:val="21"/>
                <w:szCs w:val="21"/>
              </w:rPr>
            </w:pPr>
            <w:r w:rsidRPr="0025020B">
              <w:rPr>
                <w:color w:val="000000"/>
                <w:sz w:val="21"/>
                <w:szCs w:val="21"/>
              </w:rPr>
              <w:t>Native American</w:t>
            </w:r>
          </w:p>
        </w:tc>
        <w:tc>
          <w:tcPr>
            <w:tcW w:w="1427" w:type="dxa"/>
            <w:tcBorders>
              <w:top w:val="nil"/>
              <w:left w:val="nil"/>
              <w:bottom w:val="nil"/>
              <w:right w:val="nil"/>
            </w:tcBorders>
            <w:shd w:val="clear" w:color="000000" w:fill="FFFFFF"/>
            <w:vAlign w:val="center"/>
            <w:hideMark/>
          </w:tcPr>
          <w:p w14:paraId="422CCF00" w14:textId="77777777" w:rsidR="00807428" w:rsidRDefault="00807428" w:rsidP="00363DD6">
            <w:pPr>
              <w:jc w:val="center"/>
              <w:rPr>
                <w:sz w:val="22"/>
                <w:szCs w:val="22"/>
              </w:rPr>
            </w:pPr>
            <w:r>
              <w:rPr>
                <w:sz w:val="22"/>
                <w:szCs w:val="22"/>
              </w:rPr>
              <w:t>0.227***</w:t>
            </w:r>
          </w:p>
        </w:tc>
        <w:tc>
          <w:tcPr>
            <w:tcW w:w="1428" w:type="dxa"/>
            <w:gridSpan w:val="3"/>
            <w:tcBorders>
              <w:top w:val="nil"/>
              <w:left w:val="nil"/>
              <w:bottom w:val="nil"/>
              <w:right w:val="nil"/>
            </w:tcBorders>
            <w:shd w:val="clear" w:color="000000" w:fill="FFFFFF"/>
            <w:vAlign w:val="center"/>
            <w:hideMark/>
          </w:tcPr>
          <w:p w14:paraId="4C0DF95B" w14:textId="77777777" w:rsidR="00807428" w:rsidRDefault="00807428" w:rsidP="00363DD6">
            <w:pPr>
              <w:jc w:val="center"/>
              <w:rPr>
                <w:sz w:val="22"/>
                <w:szCs w:val="22"/>
              </w:rPr>
            </w:pPr>
            <w:r>
              <w:rPr>
                <w:sz w:val="22"/>
                <w:szCs w:val="22"/>
              </w:rPr>
              <w:t>0.274***</w:t>
            </w:r>
          </w:p>
        </w:tc>
        <w:tc>
          <w:tcPr>
            <w:tcW w:w="1427" w:type="dxa"/>
            <w:tcBorders>
              <w:top w:val="nil"/>
              <w:left w:val="nil"/>
              <w:bottom w:val="nil"/>
              <w:right w:val="nil"/>
            </w:tcBorders>
            <w:shd w:val="clear" w:color="000000" w:fill="FFFFFF"/>
            <w:vAlign w:val="center"/>
            <w:hideMark/>
          </w:tcPr>
          <w:p w14:paraId="4F240767" w14:textId="77777777" w:rsidR="00807428" w:rsidRDefault="00807428" w:rsidP="00363DD6">
            <w:pPr>
              <w:jc w:val="center"/>
              <w:rPr>
                <w:sz w:val="22"/>
                <w:szCs w:val="22"/>
              </w:rPr>
            </w:pPr>
            <w:r>
              <w:rPr>
                <w:sz w:val="22"/>
                <w:szCs w:val="22"/>
              </w:rPr>
              <w:t>0.246***</w:t>
            </w:r>
          </w:p>
        </w:tc>
        <w:tc>
          <w:tcPr>
            <w:tcW w:w="1428" w:type="dxa"/>
            <w:gridSpan w:val="2"/>
            <w:tcBorders>
              <w:top w:val="nil"/>
              <w:left w:val="nil"/>
              <w:bottom w:val="nil"/>
              <w:right w:val="nil"/>
            </w:tcBorders>
            <w:shd w:val="clear" w:color="000000" w:fill="FFFFFF"/>
            <w:vAlign w:val="center"/>
            <w:hideMark/>
          </w:tcPr>
          <w:p w14:paraId="343CD11C" w14:textId="77777777" w:rsidR="00807428" w:rsidRDefault="00807428" w:rsidP="00363DD6">
            <w:pPr>
              <w:jc w:val="center"/>
              <w:rPr>
                <w:sz w:val="22"/>
                <w:szCs w:val="22"/>
              </w:rPr>
            </w:pPr>
            <w:r>
              <w:rPr>
                <w:sz w:val="22"/>
                <w:szCs w:val="22"/>
              </w:rPr>
              <w:t>0.148***</w:t>
            </w:r>
          </w:p>
        </w:tc>
      </w:tr>
      <w:tr w:rsidR="00807428" w:rsidRPr="0025020B" w14:paraId="4ADBAD0B" w14:textId="77777777" w:rsidTr="00363DD6">
        <w:trPr>
          <w:trHeight w:val="20"/>
        </w:trPr>
        <w:tc>
          <w:tcPr>
            <w:tcW w:w="3380" w:type="dxa"/>
            <w:tcBorders>
              <w:top w:val="nil"/>
              <w:left w:val="nil"/>
              <w:bottom w:val="nil"/>
              <w:right w:val="nil"/>
            </w:tcBorders>
            <w:shd w:val="clear" w:color="000000" w:fill="FFFFFF"/>
            <w:vAlign w:val="center"/>
            <w:hideMark/>
          </w:tcPr>
          <w:p w14:paraId="51FC8F49"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111C85F" w14:textId="77777777" w:rsidR="00807428" w:rsidRDefault="00807428" w:rsidP="00363DD6">
            <w:pPr>
              <w:jc w:val="center"/>
              <w:rPr>
                <w:sz w:val="22"/>
                <w:szCs w:val="22"/>
              </w:rPr>
            </w:pPr>
            <w:r>
              <w:rPr>
                <w:sz w:val="22"/>
                <w:szCs w:val="22"/>
              </w:rPr>
              <w:t>(0.05)</w:t>
            </w:r>
          </w:p>
        </w:tc>
        <w:tc>
          <w:tcPr>
            <w:tcW w:w="1428" w:type="dxa"/>
            <w:gridSpan w:val="3"/>
            <w:tcBorders>
              <w:top w:val="nil"/>
              <w:left w:val="nil"/>
              <w:bottom w:val="nil"/>
              <w:right w:val="nil"/>
            </w:tcBorders>
            <w:shd w:val="clear" w:color="000000" w:fill="FFFFFF"/>
            <w:vAlign w:val="center"/>
            <w:hideMark/>
          </w:tcPr>
          <w:p w14:paraId="0240D116" w14:textId="77777777" w:rsidR="00807428" w:rsidRDefault="00807428" w:rsidP="00363DD6">
            <w:pPr>
              <w:jc w:val="center"/>
              <w:rPr>
                <w:sz w:val="22"/>
                <w:szCs w:val="22"/>
              </w:rPr>
            </w:pPr>
            <w:r>
              <w:rPr>
                <w:sz w:val="22"/>
                <w:szCs w:val="22"/>
              </w:rPr>
              <w:t>(0.04)</w:t>
            </w:r>
          </w:p>
        </w:tc>
        <w:tc>
          <w:tcPr>
            <w:tcW w:w="1427" w:type="dxa"/>
            <w:tcBorders>
              <w:top w:val="nil"/>
              <w:left w:val="nil"/>
              <w:bottom w:val="nil"/>
              <w:right w:val="nil"/>
            </w:tcBorders>
            <w:shd w:val="clear" w:color="000000" w:fill="FFFFFF"/>
            <w:vAlign w:val="center"/>
            <w:hideMark/>
          </w:tcPr>
          <w:p w14:paraId="0BA1F40A" w14:textId="77777777" w:rsidR="00807428" w:rsidRDefault="00807428" w:rsidP="00363DD6">
            <w:pPr>
              <w:jc w:val="center"/>
              <w:rPr>
                <w:sz w:val="22"/>
                <w:szCs w:val="22"/>
              </w:rPr>
            </w:pPr>
            <w:r>
              <w:rPr>
                <w:sz w:val="22"/>
                <w:szCs w:val="22"/>
              </w:rPr>
              <w:t>(0.05)</w:t>
            </w:r>
          </w:p>
        </w:tc>
        <w:tc>
          <w:tcPr>
            <w:tcW w:w="1428" w:type="dxa"/>
            <w:gridSpan w:val="2"/>
            <w:tcBorders>
              <w:top w:val="nil"/>
              <w:left w:val="nil"/>
              <w:bottom w:val="nil"/>
              <w:right w:val="nil"/>
            </w:tcBorders>
            <w:shd w:val="clear" w:color="000000" w:fill="FFFFFF"/>
            <w:vAlign w:val="center"/>
            <w:hideMark/>
          </w:tcPr>
          <w:p w14:paraId="5F1BDC34" w14:textId="77777777" w:rsidR="00807428" w:rsidRDefault="00807428" w:rsidP="00363DD6">
            <w:pPr>
              <w:jc w:val="center"/>
              <w:rPr>
                <w:sz w:val="22"/>
                <w:szCs w:val="22"/>
              </w:rPr>
            </w:pPr>
            <w:r>
              <w:rPr>
                <w:sz w:val="22"/>
                <w:szCs w:val="22"/>
              </w:rPr>
              <w:t>(0.05)</w:t>
            </w:r>
          </w:p>
        </w:tc>
      </w:tr>
      <w:tr w:rsidR="00807428" w:rsidRPr="0025020B" w14:paraId="081DE3C9" w14:textId="77777777" w:rsidTr="00363DD6">
        <w:trPr>
          <w:trHeight w:val="20"/>
        </w:trPr>
        <w:tc>
          <w:tcPr>
            <w:tcW w:w="3380" w:type="dxa"/>
            <w:tcBorders>
              <w:top w:val="nil"/>
              <w:left w:val="nil"/>
              <w:bottom w:val="nil"/>
              <w:right w:val="nil"/>
            </w:tcBorders>
            <w:shd w:val="clear" w:color="000000" w:fill="FFFFFF"/>
            <w:vAlign w:val="center"/>
            <w:hideMark/>
          </w:tcPr>
          <w:p w14:paraId="688A5AB5" w14:textId="77777777" w:rsidR="00807428" w:rsidRPr="0025020B" w:rsidRDefault="00807428" w:rsidP="00363DD6">
            <w:pPr>
              <w:rPr>
                <w:color w:val="000000"/>
                <w:sz w:val="21"/>
                <w:szCs w:val="21"/>
              </w:rPr>
            </w:pPr>
            <w:r w:rsidRPr="0025020B">
              <w:rPr>
                <w:color w:val="000000"/>
                <w:sz w:val="21"/>
                <w:szCs w:val="21"/>
              </w:rPr>
              <w:t>Hispanic</w:t>
            </w:r>
          </w:p>
        </w:tc>
        <w:tc>
          <w:tcPr>
            <w:tcW w:w="1427" w:type="dxa"/>
            <w:tcBorders>
              <w:top w:val="nil"/>
              <w:left w:val="nil"/>
              <w:bottom w:val="nil"/>
              <w:right w:val="nil"/>
            </w:tcBorders>
            <w:shd w:val="clear" w:color="000000" w:fill="FFFFFF"/>
            <w:vAlign w:val="center"/>
            <w:hideMark/>
          </w:tcPr>
          <w:p w14:paraId="1EC6B82F" w14:textId="77777777" w:rsidR="00807428" w:rsidRDefault="00807428" w:rsidP="00363DD6">
            <w:pPr>
              <w:jc w:val="center"/>
              <w:rPr>
                <w:sz w:val="22"/>
                <w:szCs w:val="22"/>
              </w:rPr>
            </w:pPr>
            <w:r>
              <w:rPr>
                <w:sz w:val="22"/>
                <w:szCs w:val="22"/>
              </w:rPr>
              <w:t>0.343***</w:t>
            </w:r>
          </w:p>
        </w:tc>
        <w:tc>
          <w:tcPr>
            <w:tcW w:w="1428" w:type="dxa"/>
            <w:gridSpan w:val="3"/>
            <w:tcBorders>
              <w:top w:val="nil"/>
              <w:left w:val="nil"/>
              <w:bottom w:val="nil"/>
              <w:right w:val="nil"/>
            </w:tcBorders>
            <w:shd w:val="clear" w:color="000000" w:fill="FFFFFF"/>
            <w:vAlign w:val="center"/>
            <w:hideMark/>
          </w:tcPr>
          <w:p w14:paraId="4894A22A" w14:textId="77777777" w:rsidR="00807428" w:rsidRDefault="00807428" w:rsidP="00363DD6">
            <w:pPr>
              <w:jc w:val="center"/>
              <w:rPr>
                <w:sz w:val="22"/>
                <w:szCs w:val="22"/>
              </w:rPr>
            </w:pPr>
            <w:r>
              <w:rPr>
                <w:sz w:val="22"/>
                <w:szCs w:val="22"/>
              </w:rPr>
              <w:t>0.402***</w:t>
            </w:r>
          </w:p>
        </w:tc>
        <w:tc>
          <w:tcPr>
            <w:tcW w:w="1427" w:type="dxa"/>
            <w:tcBorders>
              <w:top w:val="nil"/>
              <w:left w:val="nil"/>
              <w:bottom w:val="nil"/>
              <w:right w:val="nil"/>
            </w:tcBorders>
            <w:shd w:val="clear" w:color="000000" w:fill="FFFFFF"/>
            <w:vAlign w:val="center"/>
            <w:hideMark/>
          </w:tcPr>
          <w:p w14:paraId="091DFCDA" w14:textId="77777777" w:rsidR="00807428" w:rsidRDefault="00807428" w:rsidP="00363DD6">
            <w:pPr>
              <w:jc w:val="center"/>
              <w:rPr>
                <w:sz w:val="22"/>
                <w:szCs w:val="22"/>
              </w:rPr>
            </w:pPr>
            <w:r>
              <w:rPr>
                <w:sz w:val="22"/>
                <w:szCs w:val="22"/>
              </w:rPr>
              <w:t>0.317***</w:t>
            </w:r>
          </w:p>
        </w:tc>
        <w:tc>
          <w:tcPr>
            <w:tcW w:w="1428" w:type="dxa"/>
            <w:gridSpan w:val="2"/>
            <w:tcBorders>
              <w:top w:val="nil"/>
              <w:left w:val="nil"/>
              <w:bottom w:val="nil"/>
              <w:right w:val="nil"/>
            </w:tcBorders>
            <w:shd w:val="clear" w:color="000000" w:fill="FFFFFF"/>
            <w:vAlign w:val="center"/>
            <w:hideMark/>
          </w:tcPr>
          <w:p w14:paraId="5E79F7A2" w14:textId="77777777" w:rsidR="00807428" w:rsidRDefault="00807428" w:rsidP="00363DD6">
            <w:pPr>
              <w:jc w:val="center"/>
              <w:rPr>
                <w:sz w:val="22"/>
                <w:szCs w:val="22"/>
              </w:rPr>
            </w:pPr>
            <w:r>
              <w:rPr>
                <w:sz w:val="22"/>
                <w:szCs w:val="22"/>
              </w:rPr>
              <w:t>0.299***</w:t>
            </w:r>
          </w:p>
        </w:tc>
      </w:tr>
      <w:tr w:rsidR="00807428" w:rsidRPr="0025020B" w14:paraId="583FAD7D" w14:textId="77777777" w:rsidTr="00363DD6">
        <w:trPr>
          <w:trHeight w:val="20"/>
        </w:trPr>
        <w:tc>
          <w:tcPr>
            <w:tcW w:w="3380" w:type="dxa"/>
            <w:tcBorders>
              <w:top w:val="nil"/>
              <w:left w:val="nil"/>
              <w:bottom w:val="nil"/>
              <w:right w:val="nil"/>
            </w:tcBorders>
            <w:shd w:val="clear" w:color="000000" w:fill="FFFFFF"/>
            <w:vAlign w:val="center"/>
            <w:hideMark/>
          </w:tcPr>
          <w:p w14:paraId="7DB85901"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43B640A" w14:textId="77777777" w:rsidR="00807428" w:rsidRDefault="00807428" w:rsidP="00363DD6">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1579A409" w14:textId="77777777" w:rsidR="00807428" w:rsidRDefault="00807428" w:rsidP="00363DD6">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76969CEC" w14:textId="77777777" w:rsidR="00807428" w:rsidRDefault="00807428" w:rsidP="00363DD6">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0B0EF7A8" w14:textId="77777777" w:rsidR="00807428" w:rsidRDefault="00807428" w:rsidP="00363DD6">
            <w:pPr>
              <w:jc w:val="center"/>
              <w:rPr>
                <w:sz w:val="22"/>
                <w:szCs w:val="22"/>
              </w:rPr>
            </w:pPr>
            <w:r>
              <w:rPr>
                <w:sz w:val="22"/>
                <w:szCs w:val="22"/>
              </w:rPr>
              <w:t>(0.01)</w:t>
            </w:r>
          </w:p>
        </w:tc>
      </w:tr>
      <w:tr w:rsidR="00807428" w:rsidRPr="0025020B" w14:paraId="3E60FD03" w14:textId="77777777" w:rsidTr="00363DD6">
        <w:trPr>
          <w:trHeight w:val="20"/>
        </w:trPr>
        <w:tc>
          <w:tcPr>
            <w:tcW w:w="3380" w:type="dxa"/>
            <w:tcBorders>
              <w:top w:val="nil"/>
              <w:left w:val="nil"/>
              <w:bottom w:val="nil"/>
              <w:right w:val="nil"/>
            </w:tcBorders>
            <w:shd w:val="clear" w:color="000000" w:fill="FFFFFF"/>
            <w:vAlign w:val="center"/>
            <w:hideMark/>
          </w:tcPr>
          <w:p w14:paraId="1DEF7CDD" w14:textId="77777777" w:rsidR="00807428" w:rsidRPr="0025020B" w:rsidRDefault="00807428" w:rsidP="00363DD6">
            <w:pPr>
              <w:rPr>
                <w:color w:val="000000"/>
                <w:sz w:val="21"/>
                <w:szCs w:val="21"/>
              </w:rPr>
            </w:pPr>
            <w:r w:rsidRPr="0025020B">
              <w:rPr>
                <w:color w:val="000000"/>
                <w:sz w:val="21"/>
                <w:szCs w:val="21"/>
              </w:rPr>
              <w:t>Pacific Islander</w:t>
            </w:r>
          </w:p>
        </w:tc>
        <w:tc>
          <w:tcPr>
            <w:tcW w:w="1427" w:type="dxa"/>
            <w:tcBorders>
              <w:top w:val="nil"/>
              <w:left w:val="nil"/>
              <w:bottom w:val="nil"/>
              <w:right w:val="nil"/>
            </w:tcBorders>
            <w:shd w:val="clear" w:color="000000" w:fill="FFFFFF"/>
            <w:vAlign w:val="center"/>
            <w:hideMark/>
          </w:tcPr>
          <w:p w14:paraId="0795E5B5" w14:textId="77777777" w:rsidR="00807428" w:rsidRDefault="00807428" w:rsidP="00363DD6">
            <w:pPr>
              <w:jc w:val="center"/>
              <w:rPr>
                <w:sz w:val="22"/>
                <w:szCs w:val="22"/>
              </w:rPr>
            </w:pPr>
            <w:r>
              <w:rPr>
                <w:sz w:val="22"/>
                <w:szCs w:val="22"/>
              </w:rPr>
              <w:t>-0.162**</w:t>
            </w:r>
          </w:p>
        </w:tc>
        <w:tc>
          <w:tcPr>
            <w:tcW w:w="1428" w:type="dxa"/>
            <w:gridSpan w:val="3"/>
            <w:tcBorders>
              <w:top w:val="nil"/>
              <w:left w:val="nil"/>
              <w:bottom w:val="nil"/>
              <w:right w:val="nil"/>
            </w:tcBorders>
            <w:shd w:val="clear" w:color="000000" w:fill="FFFFFF"/>
            <w:vAlign w:val="center"/>
            <w:hideMark/>
          </w:tcPr>
          <w:p w14:paraId="1C9A05CE" w14:textId="77777777" w:rsidR="00807428" w:rsidRDefault="00807428" w:rsidP="00363DD6">
            <w:pPr>
              <w:jc w:val="center"/>
              <w:rPr>
                <w:sz w:val="22"/>
                <w:szCs w:val="22"/>
              </w:rPr>
            </w:pPr>
            <w:r>
              <w:rPr>
                <w:sz w:val="22"/>
                <w:szCs w:val="22"/>
              </w:rPr>
              <w:t>-0.420***</w:t>
            </w:r>
          </w:p>
        </w:tc>
        <w:tc>
          <w:tcPr>
            <w:tcW w:w="1427" w:type="dxa"/>
            <w:tcBorders>
              <w:top w:val="nil"/>
              <w:left w:val="nil"/>
              <w:bottom w:val="nil"/>
              <w:right w:val="nil"/>
            </w:tcBorders>
            <w:shd w:val="clear" w:color="000000" w:fill="FFFFFF"/>
            <w:vAlign w:val="center"/>
            <w:hideMark/>
          </w:tcPr>
          <w:p w14:paraId="5BDD7A63" w14:textId="77777777" w:rsidR="00807428" w:rsidRDefault="00807428" w:rsidP="00363DD6">
            <w:pPr>
              <w:jc w:val="center"/>
              <w:rPr>
                <w:sz w:val="22"/>
                <w:szCs w:val="22"/>
              </w:rPr>
            </w:pPr>
            <w:r>
              <w:rPr>
                <w:sz w:val="22"/>
                <w:szCs w:val="22"/>
              </w:rPr>
              <w:t>-0.238***</w:t>
            </w:r>
          </w:p>
        </w:tc>
        <w:tc>
          <w:tcPr>
            <w:tcW w:w="1428" w:type="dxa"/>
            <w:gridSpan w:val="2"/>
            <w:tcBorders>
              <w:top w:val="nil"/>
              <w:left w:val="nil"/>
              <w:bottom w:val="nil"/>
              <w:right w:val="nil"/>
            </w:tcBorders>
            <w:shd w:val="clear" w:color="000000" w:fill="FFFFFF"/>
            <w:vAlign w:val="center"/>
            <w:hideMark/>
          </w:tcPr>
          <w:p w14:paraId="5AAD1DE7" w14:textId="77777777" w:rsidR="00807428" w:rsidRDefault="00807428" w:rsidP="00363DD6">
            <w:pPr>
              <w:jc w:val="center"/>
              <w:rPr>
                <w:sz w:val="22"/>
                <w:szCs w:val="22"/>
              </w:rPr>
            </w:pPr>
            <w:r>
              <w:rPr>
                <w:sz w:val="22"/>
                <w:szCs w:val="22"/>
              </w:rPr>
              <w:t>-0.231***</w:t>
            </w:r>
          </w:p>
        </w:tc>
      </w:tr>
      <w:tr w:rsidR="00807428" w:rsidRPr="0025020B" w14:paraId="06A63379" w14:textId="77777777" w:rsidTr="00363DD6">
        <w:trPr>
          <w:trHeight w:val="20"/>
        </w:trPr>
        <w:tc>
          <w:tcPr>
            <w:tcW w:w="3380" w:type="dxa"/>
            <w:tcBorders>
              <w:top w:val="nil"/>
              <w:left w:val="nil"/>
              <w:bottom w:val="nil"/>
              <w:right w:val="nil"/>
            </w:tcBorders>
            <w:shd w:val="clear" w:color="000000" w:fill="FFFFFF"/>
            <w:vAlign w:val="center"/>
            <w:hideMark/>
          </w:tcPr>
          <w:p w14:paraId="29D72A9E"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E8AB0A9" w14:textId="77777777" w:rsidR="00807428" w:rsidRDefault="00807428" w:rsidP="00363DD6">
            <w:pPr>
              <w:jc w:val="center"/>
              <w:rPr>
                <w:sz w:val="22"/>
                <w:szCs w:val="22"/>
              </w:rPr>
            </w:pPr>
            <w:r>
              <w:rPr>
                <w:sz w:val="22"/>
                <w:szCs w:val="22"/>
              </w:rPr>
              <w:t>(0.08)</w:t>
            </w:r>
          </w:p>
        </w:tc>
        <w:tc>
          <w:tcPr>
            <w:tcW w:w="1428" w:type="dxa"/>
            <w:gridSpan w:val="3"/>
            <w:tcBorders>
              <w:top w:val="nil"/>
              <w:left w:val="nil"/>
              <w:bottom w:val="nil"/>
              <w:right w:val="nil"/>
            </w:tcBorders>
            <w:shd w:val="clear" w:color="000000" w:fill="FFFFFF"/>
            <w:vAlign w:val="center"/>
            <w:hideMark/>
          </w:tcPr>
          <w:p w14:paraId="69A82540" w14:textId="77777777" w:rsidR="00807428" w:rsidRDefault="00807428" w:rsidP="00363DD6">
            <w:pPr>
              <w:jc w:val="center"/>
              <w:rPr>
                <w:sz w:val="22"/>
                <w:szCs w:val="22"/>
              </w:rPr>
            </w:pPr>
            <w:r>
              <w:rPr>
                <w:sz w:val="22"/>
                <w:szCs w:val="22"/>
              </w:rPr>
              <w:t>(0.08)</w:t>
            </w:r>
          </w:p>
        </w:tc>
        <w:tc>
          <w:tcPr>
            <w:tcW w:w="1427" w:type="dxa"/>
            <w:tcBorders>
              <w:top w:val="nil"/>
              <w:left w:val="nil"/>
              <w:bottom w:val="nil"/>
              <w:right w:val="nil"/>
            </w:tcBorders>
            <w:shd w:val="clear" w:color="000000" w:fill="FFFFFF"/>
            <w:vAlign w:val="center"/>
            <w:hideMark/>
          </w:tcPr>
          <w:p w14:paraId="72A9EAA1" w14:textId="77777777" w:rsidR="00807428" w:rsidRDefault="00807428" w:rsidP="00363DD6">
            <w:pPr>
              <w:jc w:val="center"/>
              <w:rPr>
                <w:sz w:val="22"/>
                <w:szCs w:val="22"/>
              </w:rPr>
            </w:pPr>
            <w:r>
              <w:rPr>
                <w:sz w:val="22"/>
                <w:szCs w:val="22"/>
              </w:rPr>
              <w:t>(0.08)</w:t>
            </w:r>
          </w:p>
        </w:tc>
        <w:tc>
          <w:tcPr>
            <w:tcW w:w="1428" w:type="dxa"/>
            <w:gridSpan w:val="2"/>
            <w:tcBorders>
              <w:top w:val="nil"/>
              <w:left w:val="nil"/>
              <w:bottom w:val="nil"/>
              <w:right w:val="nil"/>
            </w:tcBorders>
            <w:shd w:val="clear" w:color="000000" w:fill="FFFFFF"/>
            <w:vAlign w:val="center"/>
            <w:hideMark/>
          </w:tcPr>
          <w:p w14:paraId="7B9B0F48" w14:textId="77777777" w:rsidR="00807428" w:rsidRDefault="00807428" w:rsidP="00363DD6">
            <w:pPr>
              <w:jc w:val="center"/>
              <w:rPr>
                <w:sz w:val="22"/>
                <w:szCs w:val="22"/>
              </w:rPr>
            </w:pPr>
            <w:r>
              <w:rPr>
                <w:sz w:val="22"/>
                <w:szCs w:val="22"/>
              </w:rPr>
              <w:t>(0.08)</w:t>
            </w:r>
          </w:p>
        </w:tc>
      </w:tr>
      <w:tr w:rsidR="00807428" w:rsidRPr="0025020B" w14:paraId="6823A0D5" w14:textId="77777777" w:rsidTr="00363DD6">
        <w:trPr>
          <w:trHeight w:val="20"/>
        </w:trPr>
        <w:tc>
          <w:tcPr>
            <w:tcW w:w="3380" w:type="dxa"/>
            <w:tcBorders>
              <w:top w:val="nil"/>
              <w:left w:val="nil"/>
              <w:bottom w:val="nil"/>
              <w:right w:val="nil"/>
            </w:tcBorders>
            <w:shd w:val="clear" w:color="000000" w:fill="FFFFFF"/>
            <w:vAlign w:val="center"/>
            <w:hideMark/>
          </w:tcPr>
          <w:p w14:paraId="3111553E" w14:textId="77777777" w:rsidR="00807428" w:rsidRPr="0025020B" w:rsidRDefault="00807428" w:rsidP="00363DD6">
            <w:pPr>
              <w:rPr>
                <w:color w:val="000000"/>
                <w:sz w:val="21"/>
                <w:szCs w:val="21"/>
              </w:rPr>
            </w:pPr>
            <w:r w:rsidRPr="0025020B">
              <w:rPr>
                <w:color w:val="000000"/>
                <w:sz w:val="21"/>
                <w:szCs w:val="21"/>
              </w:rPr>
              <w:t>Fannie Mae purchased</w:t>
            </w:r>
          </w:p>
        </w:tc>
        <w:tc>
          <w:tcPr>
            <w:tcW w:w="1427" w:type="dxa"/>
            <w:tcBorders>
              <w:top w:val="nil"/>
              <w:left w:val="nil"/>
              <w:bottom w:val="nil"/>
              <w:right w:val="nil"/>
            </w:tcBorders>
            <w:shd w:val="clear" w:color="000000" w:fill="FFFFFF"/>
            <w:vAlign w:val="center"/>
            <w:hideMark/>
          </w:tcPr>
          <w:p w14:paraId="00FFEC6A" w14:textId="77777777" w:rsidR="00807428" w:rsidRDefault="00807428" w:rsidP="00363DD6">
            <w:pPr>
              <w:jc w:val="center"/>
              <w:rPr>
                <w:sz w:val="22"/>
                <w:szCs w:val="22"/>
              </w:rPr>
            </w:pPr>
            <w:r>
              <w:rPr>
                <w:sz w:val="22"/>
                <w:szCs w:val="22"/>
              </w:rPr>
              <w:t>-0.390***</w:t>
            </w:r>
          </w:p>
        </w:tc>
        <w:tc>
          <w:tcPr>
            <w:tcW w:w="1428" w:type="dxa"/>
            <w:gridSpan w:val="3"/>
            <w:tcBorders>
              <w:top w:val="nil"/>
              <w:left w:val="nil"/>
              <w:bottom w:val="nil"/>
              <w:right w:val="nil"/>
            </w:tcBorders>
            <w:shd w:val="clear" w:color="000000" w:fill="FFFFFF"/>
            <w:vAlign w:val="center"/>
            <w:hideMark/>
          </w:tcPr>
          <w:p w14:paraId="751D5D85" w14:textId="77777777" w:rsidR="00807428" w:rsidRDefault="00807428" w:rsidP="00363DD6">
            <w:pPr>
              <w:jc w:val="center"/>
              <w:rPr>
                <w:sz w:val="22"/>
                <w:szCs w:val="22"/>
              </w:rPr>
            </w:pPr>
            <w:r>
              <w:rPr>
                <w:sz w:val="22"/>
                <w:szCs w:val="22"/>
              </w:rPr>
              <w:t>-0.402***</w:t>
            </w:r>
          </w:p>
        </w:tc>
        <w:tc>
          <w:tcPr>
            <w:tcW w:w="1427" w:type="dxa"/>
            <w:tcBorders>
              <w:top w:val="nil"/>
              <w:left w:val="nil"/>
              <w:bottom w:val="nil"/>
              <w:right w:val="nil"/>
            </w:tcBorders>
            <w:shd w:val="clear" w:color="000000" w:fill="FFFFFF"/>
            <w:vAlign w:val="center"/>
            <w:hideMark/>
          </w:tcPr>
          <w:p w14:paraId="0299AE4F" w14:textId="77777777" w:rsidR="00807428" w:rsidRDefault="00807428" w:rsidP="00363DD6">
            <w:pPr>
              <w:jc w:val="center"/>
              <w:rPr>
                <w:sz w:val="22"/>
                <w:szCs w:val="22"/>
              </w:rPr>
            </w:pPr>
            <w:r>
              <w:rPr>
                <w:sz w:val="22"/>
                <w:szCs w:val="22"/>
              </w:rPr>
              <w:t>-0.363***</w:t>
            </w:r>
          </w:p>
        </w:tc>
        <w:tc>
          <w:tcPr>
            <w:tcW w:w="1428" w:type="dxa"/>
            <w:gridSpan w:val="2"/>
            <w:tcBorders>
              <w:top w:val="nil"/>
              <w:left w:val="nil"/>
              <w:bottom w:val="nil"/>
              <w:right w:val="nil"/>
            </w:tcBorders>
            <w:shd w:val="clear" w:color="000000" w:fill="FFFFFF"/>
            <w:vAlign w:val="center"/>
            <w:hideMark/>
          </w:tcPr>
          <w:p w14:paraId="5CC0B66F" w14:textId="77777777" w:rsidR="00807428" w:rsidRDefault="00807428" w:rsidP="00363DD6">
            <w:pPr>
              <w:jc w:val="center"/>
              <w:rPr>
                <w:sz w:val="22"/>
                <w:szCs w:val="22"/>
              </w:rPr>
            </w:pPr>
            <w:r>
              <w:rPr>
                <w:sz w:val="22"/>
                <w:szCs w:val="22"/>
              </w:rPr>
              <w:t>-0.352***</w:t>
            </w:r>
          </w:p>
        </w:tc>
      </w:tr>
      <w:tr w:rsidR="00807428" w:rsidRPr="0025020B" w14:paraId="713A405E" w14:textId="77777777" w:rsidTr="00363DD6">
        <w:trPr>
          <w:trHeight w:val="20"/>
        </w:trPr>
        <w:tc>
          <w:tcPr>
            <w:tcW w:w="3380" w:type="dxa"/>
            <w:tcBorders>
              <w:top w:val="nil"/>
              <w:left w:val="nil"/>
              <w:bottom w:val="nil"/>
              <w:right w:val="nil"/>
            </w:tcBorders>
            <w:shd w:val="clear" w:color="000000" w:fill="FFFFFF"/>
            <w:vAlign w:val="center"/>
            <w:hideMark/>
          </w:tcPr>
          <w:p w14:paraId="39DDFA6C"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3DCE26B" w14:textId="77777777" w:rsidR="00807428" w:rsidRDefault="00807428" w:rsidP="00363DD6">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1BE6ECE7" w14:textId="77777777" w:rsidR="00807428" w:rsidRDefault="00807428" w:rsidP="00363DD6">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051B1F15" w14:textId="77777777" w:rsidR="00807428" w:rsidRDefault="00807428" w:rsidP="00363DD6">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7C840ED7" w14:textId="77777777" w:rsidR="00807428" w:rsidRDefault="00807428" w:rsidP="00363DD6">
            <w:pPr>
              <w:jc w:val="center"/>
              <w:rPr>
                <w:sz w:val="22"/>
                <w:szCs w:val="22"/>
              </w:rPr>
            </w:pPr>
            <w:r>
              <w:rPr>
                <w:sz w:val="22"/>
                <w:szCs w:val="22"/>
              </w:rPr>
              <w:t>(0.02)</w:t>
            </w:r>
          </w:p>
        </w:tc>
      </w:tr>
      <w:tr w:rsidR="00807428" w:rsidRPr="0025020B" w14:paraId="1F235B83" w14:textId="77777777" w:rsidTr="00363DD6">
        <w:trPr>
          <w:trHeight w:val="20"/>
        </w:trPr>
        <w:tc>
          <w:tcPr>
            <w:tcW w:w="3380" w:type="dxa"/>
            <w:tcBorders>
              <w:top w:val="nil"/>
              <w:left w:val="nil"/>
              <w:bottom w:val="nil"/>
              <w:right w:val="nil"/>
            </w:tcBorders>
            <w:shd w:val="clear" w:color="000000" w:fill="FFFFFF"/>
            <w:vAlign w:val="center"/>
            <w:hideMark/>
          </w:tcPr>
          <w:p w14:paraId="62C45680" w14:textId="77777777" w:rsidR="00807428" w:rsidRPr="0025020B" w:rsidRDefault="00807428" w:rsidP="00363DD6">
            <w:pPr>
              <w:rPr>
                <w:color w:val="000000"/>
                <w:sz w:val="21"/>
                <w:szCs w:val="21"/>
              </w:rPr>
            </w:pPr>
            <w:r w:rsidRPr="0025020B">
              <w:rPr>
                <w:color w:val="000000"/>
                <w:sz w:val="21"/>
                <w:szCs w:val="21"/>
              </w:rPr>
              <w:t>Freddie Mac purchased</w:t>
            </w:r>
          </w:p>
        </w:tc>
        <w:tc>
          <w:tcPr>
            <w:tcW w:w="1427" w:type="dxa"/>
            <w:tcBorders>
              <w:top w:val="nil"/>
              <w:left w:val="nil"/>
              <w:bottom w:val="nil"/>
              <w:right w:val="nil"/>
            </w:tcBorders>
            <w:shd w:val="clear" w:color="000000" w:fill="FFFFFF"/>
            <w:vAlign w:val="center"/>
            <w:hideMark/>
          </w:tcPr>
          <w:p w14:paraId="21374C30" w14:textId="77777777" w:rsidR="00807428" w:rsidRDefault="00807428" w:rsidP="00363DD6">
            <w:pPr>
              <w:jc w:val="center"/>
              <w:rPr>
                <w:sz w:val="22"/>
                <w:szCs w:val="22"/>
              </w:rPr>
            </w:pPr>
            <w:r>
              <w:rPr>
                <w:sz w:val="22"/>
                <w:szCs w:val="22"/>
              </w:rPr>
              <w:t>-0.481***</w:t>
            </w:r>
          </w:p>
        </w:tc>
        <w:tc>
          <w:tcPr>
            <w:tcW w:w="1428" w:type="dxa"/>
            <w:gridSpan w:val="3"/>
            <w:tcBorders>
              <w:top w:val="nil"/>
              <w:left w:val="nil"/>
              <w:bottom w:val="nil"/>
              <w:right w:val="nil"/>
            </w:tcBorders>
            <w:shd w:val="clear" w:color="000000" w:fill="FFFFFF"/>
            <w:vAlign w:val="center"/>
            <w:hideMark/>
          </w:tcPr>
          <w:p w14:paraId="61727F30" w14:textId="77777777" w:rsidR="00807428" w:rsidRDefault="00807428" w:rsidP="00363DD6">
            <w:pPr>
              <w:jc w:val="center"/>
              <w:rPr>
                <w:sz w:val="22"/>
                <w:szCs w:val="22"/>
              </w:rPr>
            </w:pPr>
            <w:r>
              <w:rPr>
                <w:sz w:val="22"/>
                <w:szCs w:val="22"/>
              </w:rPr>
              <w:t>-0.421***</w:t>
            </w:r>
          </w:p>
        </w:tc>
        <w:tc>
          <w:tcPr>
            <w:tcW w:w="1427" w:type="dxa"/>
            <w:tcBorders>
              <w:top w:val="nil"/>
              <w:left w:val="nil"/>
              <w:bottom w:val="nil"/>
              <w:right w:val="nil"/>
            </w:tcBorders>
            <w:shd w:val="clear" w:color="000000" w:fill="FFFFFF"/>
            <w:vAlign w:val="center"/>
            <w:hideMark/>
          </w:tcPr>
          <w:p w14:paraId="008645A9" w14:textId="77777777" w:rsidR="00807428" w:rsidRDefault="00807428" w:rsidP="00363DD6">
            <w:pPr>
              <w:jc w:val="center"/>
              <w:rPr>
                <w:sz w:val="22"/>
                <w:szCs w:val="22"/>
              </w:rPr>
            </w:pPr>
            <w:r>
              <w:rPr>
                <w:sz w:val="22"/>
                <w:szCs w:val="22"/>
              </w:rPr>
              <w:t>-0.486***</w:t>
            </w:r>
          </w:p>
        </w:tc>
        <w:tc>
          <w:tcPr>
            <w:tcW w:w="1428" w:type="dxa"/>
            <w:gridSpan w:val="2"/>
            <w:tcBorders>
              <w:top w:val="nil"/>
              <w:left w:val="nil"/>
              <w:bottom w:val="nil"/>
              <w:right w:val="nil"/>
            </w:tcBorders>
            <w:shd w:val="clear" w:color="000000" w:fill="FFFFFF"/>
            <w:vAlign w:val="center"/>
            <w:hideMark/>
          </w:tcPr>
          <w:p w14:paraId="3A2B031E" w14:textId="77777777" w:rsidR="00807428" w:rsidRDefault="00807428" w:rsidP="00363DD6">
            <w:pPr>
              <w:jc w:val="center"/>
              <w:rPr>
                <w:sz w:val="22"/>
                <w:szCs w:val="22"/>
              </w:rPr>
            </w:pPr>
            <w:r>
              <w:rPr>
                <w:sz w:val="22"/>
                <w:szCs w:val="22"/>
              </w:rPr>
              <w:t>-0.484***</w:t>
            </w:r>
          </w:p>
        </w:tc>
      </w:tr>
      <w:tr w:rsidR="00807428" w:rsidRPr="0025020B" w14:paraId="1F7ED4B0" w14:textId="77777777" w:rsidTr="00363DD6">
        <w:trPr>
          <w:trHeight w:val="20"/>
        </w:trPr>
        <w:tc>
          <w:tcPr>
            <w:tcW w:w="3380" w:type="dxa"/>
            <w:tcBorders>
              <w:top w:val="nil"/>
              <w:left w:val="nil"/>
              <w:bottom w:val="nil"/>
              <w:right w:val="nil"/>
            </w:tcBorders>
            <w:shd w:val="clear" w:color="000000" w:fill="FFFFFF"/>
            <w:vAlign w:val="center"/>
            <w:hideMark/>
          </w:tcPr>
          <w:p w14:paraId="2A7A65B7"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49CEF01" w14:textId="77777777" w:rsidR="00807428" w:rsidRDefault="00807428" w:rsidP="00363DD6">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0389C4D2" w14:textId="77777777" w:rsidR="00807428" w:rsidRDefault="00807428" w:rsidP="00363DD6">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57505C64" w14:textId="77777777" w:rsidR="00807428" w:rsidRDefault="00807428" w:rsidP="00363DD6">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40F559B2" w14:textId="77777777" w:rsidR="00807428" w:rsidRDefault="00807428" w:rsidP="00363DD6">
            <w:pPr>
              <w:jc w:val="center"/>
              <w:rPr>
                <w:sz w:val="22"/>
                <w:szCs w:val="22"/>
              </w:rPr>
            </w:pPr>
            <w:r>
              <w:rPr>
                <w:sz w:val="22"/>
                <w:szCs w:val="22"/>
              </w:rPr>
              <w:t>(0.02)</w:t>
            </w:r>
          </w:p>
        </w:tc>
      </w:tr>
      <w:tr w:rsidR="00807428" w:rsidRPr="0025020B" w14:paraId="6733F9C9" w14:textId="77777777" w:rsidTr="00363DD6">
        <w:trPr>
          <w:trHeight w:val="20"/>
        </w:trPr>
        <w:tc>
          <w:tcPr>
            <w:tcW w:w="3380" w:type="dxa"/>
            <w:tcBorders>
              <w:top w:val="nil"/>
              <w:left w:val="nil"/>
              <w:bottom w:val="nil"/>
              <w:right w:val="nil"/>
            </w:tcBorders>
            <w:shd w:val="clear" w:color="000000" w:fill="FFFFFF"/>
            <w:vAlign w:val="center"/>
            <w:hideMark/>
          </w:tcPr>
          <w:p w14:paraId="5FB2214D" w14:textId="77777777" w:rsidR="00807428" w:rsidRPr="0025020B" w:rsidRDefault="00807428" w:rsidP="00363DD6">
            <w:pPr>
              <w:rPr>
                <w:color w:val="000000"/>
                <w:sz w:val="21"/>
                <w:szCs w:val="21"/>
              </w:rPr>
            </w:pPr>
            <w:r w:rsidRPr="0025020B">
              <w:rPr>
                <w:color w:val="000000"/>
                <w:sz w:val="21"/>
                <w:szCs w:val="21"/>
              </w:rPr>
              <w:t>Ginnie Mae purchased</w:t>
            </w:r>
          </w:p>
        </w:tc>
        <w:tc>
          <w:tcPr>
            <w:tcW w:w="1427" w:type="dxa"/>
            <w:tcBorders>
              <w:top w:val="nil"/>
              <w:left w:val="nil"/>
              <w:bottom w:val="nil"/>
              <w:right w:val="nil"/>
            </w:tcBorders>
            <w:shd w:val="clear" w:color="000000" w:fill="FFFFFF"/>
            <w:vAlign w:val="center"/>
            <w:hideMark/>
          </w:tcPr>
          <w:p w14:paraId="4FB47E1C" w14:textId="77777777" w:rsidR="00807428" w:rsidRDefault="00807428" w:rsidP="00363DD6">
            <w:pPr>
              <w:jc w:val="center"/>
              <w:rPr>
                <w:sz w:val="22"/>
                <w:szCs w:val="22"/>
              </w:rPr>
            </w:pPr>
            <w:r>
              <w:rPr>
                <w:sz w:val="22"/>
                <w:szCs w:val="22"/>
              </w:rPr>
              <w:t>-0.278***</w:t>
            </w:r>
          </w:p>
        </w:tc>
        <w:tc>
          <w:tcPr>
            <w:tcW w:w="1428" w:type="dxa"/>
            <w:gridSpan w:val="3"/>
            <w:tcBorders>
              <w:top w:val="nil"/>
              <w:left w:val="nil"/>
              <w:bottom w:val="nil"/>
              <w:right w:val="nil"/>
            </w:tcBorders>
            <w:shd w:val="clear" w:color="000000" w:fill="FFFFFF"/>
            <w:vAlign w:val="center"/>
            <w:hideMark/>
          </w:tcPr>
          <w:p w14:paraId="5A56CAAB" w14:textId="77777777" w:rsidR="00807428" w:rsidRDefault="00807428" w:rsidP="00363DD6">
            <w:pPr>
              <w:jc w:val="center"/>
              <w:rPr>
                <w:sz w:val="22"/>
                <w:szCs w:val="22"/>
              </w:rPr>
            </w:pPr>
            <w:r>
              <w:rPr>
                <w:sz w:val="22"/>
                <w:szCs w:val="22"/>
              </w:rPr>
              <w:t>-0.260***</w:t>
            </w:r>
          </w:p>
        </w:tc>
        <w:tc>
          <w:tcPr>
            <w:tcW w:w="1427" w:type="dxa"/>
            <w:tcBorders>
              <w:top w:val="nil"/>
              <w:left w:val="nil"/>
              <w:bottom w:val="nil"/>
              <w:right w:val="nil"/>
            </w:tcBorders>
            <w:shd w:val="clear" w:color="000000" w:fill="FFFFFF"/>
            <w:vAlign w:val="center"/>
            <w:hideMark/>
          </w:tcPr>
          <w:p w14:paraId="4EA9DB6F" w14:textId="77777777" w:rsidR="00807428" w:rsidRDefault="00807428" w:rsidP="00363DD6">
            <w:pPr>
              <w:jc w:val="center"/>
              <w:rPr>
                <w:sz w:val="22"/>
                <w:szCs w:val="22"/>
              </w:rPr>
            </w:pPr>
            <w:r>
              <w:rPr>
                <w:sz w:val="22"/>
                <w:szCs w:val="22"/>
              </w:rPr>
              <w:t>-0.276***</w:t>
            </w:r>
          </w:p>
        </w:tc>
        <w:tc>
          <w:tcPr>
            <w:tcW w:w="1428" w:type="dxa"/>
            <w:gridSpan w:val="2"/>
            <w:tcBorders>
              <w:top w:val="nil"/>
              <w:left w:val="nil"/>
              <w:bottom w:val="nil"/>
              <w:right w:val="nil"/>
            </w:tcBorders>
            <w:shd w:val="clear" w:color="000000" w:fill="FFFFFF"/>
            <w:vAlign w:val="center"/>
            <w:hideMark/>
          </w:tcPr>
          <w:p w14:paraId="65541EF1" w14:textId="77777777" w:rsidR="00807428" w:rsidRDefault="00807428" w:rsidP="00363DD6">
            <w:pPr>
              <w:jc w:val="center"/>
              <w:rPr>
                <w:sz w:val="22"/>
                <w:szCs w:val="22"/>
              </w:rPr>
            </w:pPr>
            <w:r>
              <w:rPr>
                <w:sz w:val="22"/>
                <w:szCs w:val="22"/>
              </w:rPr>
              <w:t>-0.293***</w:t>
            </w:r>
          </w:p>
        </w:tc>
      </w:tr>
      <w:tr w:rsidR="00807428" w:rsidRPr="0025020B" w14:paraId="5071618D" w14:textId="77777777" w:rsidTr="00363DD6">
        <w:trPr>
          <w:trHeight w:val="20"/>
        </w:trPr>
        <w:tc>
          <w:tcPr>
            <w:tcW w:w="3380" w:type="dxa"/>
            <w:tcBorders>
              <w:top w:val="nil"/>
              <w:left w:val="nil"/>
              <w:bottom w:val="nil"/>
              <w:right w:val="nil"/>
            </w:tcBorders>
            <w:shd w:val="clear" w:color="000000" w:fill="FFFFFF"/>
            <w:vAlign w:val="center"/>
            <w:hideMark/>
          </w:tcPr>
          <w:p w14:paraId="500285FC" w14:textId="77777777" w:rsidR="00807428" w:rsidRPr="0025020B" w:rsidRDefault="00807428" w:rsidP="00363DD6">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BDAF8F4" w14:textId="77777777" w:rsidR="00807428" w:rsidRDefault="00807428" w:rsidP="00363DD6">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6A8D6B66" w14:textId="77777777" w:rsidR="00807428" w:rsidRDefault="00807428" w:rsidP="00363DD6">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4E5E2230" w14:textId="77777777" w:rsidR="00807428" w:rsidRDefault="00807428" w:rsidP="00363DD6">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0C526821" w14:textId="77777777" w:rsidR="00807428" w:rsidRDefault="00807428" w:rsidP="00363DD6">
            <w:pPr>
              <w:jc w:val="center"/>
              <w:rPr>
                <w:sz w:val="22"/>
                <w:szCs w:val="22"/>
              </w:rPr>
            </w:pPr>
            <w:r>
              <w:rPr>
                <w:sz w:val="22"/>
                <w:szCs w:val="22"/>
              </w:rPr>
              <w:t>(0.02)</w:t>
            </w:r>
          </w:p>
        </w:tc>
      </w:tr>
      <w:tr w:rsidR="00807428" w:rsidRPr="0025020B" w14:paraId="70C7104E" w14:textId="77777777" w:rsidTr="00363DD6">
        <w:trPr>
          <w:trHeight w:val="20"/>
        </w:trPr>
        <w:tc>
          <w:tcPr>
            <w:tcW w:w="3380" w:type="dxa"/>
            <w:tcBorders>
              <w:top w:val="nil"/>
              <w:left w:val="nil"/>
              <w:bottom w:val="nil"/>
              <w:right w:val="nil"/>
            </w:tcBorders>
            <w:shd w:val="clear" w:color="000000" w:fill="FFFFFF"/>
            <w:vAlign w:val="center"/>
            <w:hideMark/>
          </w:tcPr>
          <w:p w14:paraId="28B83478" w14:textId="77777777" w:rsidR="00807428" w:rsidRPr="0025020B" w:rsidRDefault="00807428" w:rsidP="00363DD6">
            <w:pPr>
              <w:rPr>
                <w:color w:val="000000"/>
                <w:sz w:val="21"/>
                <w:szCs w:val="21"/>
              </w:rPr>
            </w:pPr>
            <w:r w:rsidRPr="0025020B">
              <w:rPr>
                <w:color w:val="000000"/>
                <w:sz w:val="21"/>
                <w:szCs w:val="21"/>
              </w:rPr>
              <w:t>Denied for credit</w:t>
            </w:r>
          </w:p>
        </w:tc>
        <w:tc>
          <w:tcPr>
            <w:tcW w:w="1427" w:type="dxa"/>
            <w:tcBorders>
              <w:top w:val="nil"/>
              <w:left w:val="nil"/>
              <w:bottom w:val="nil"/>
              <w:right w:val="nil"/>
            </w:tcBorders>
            <w:shd w:val="clear" w:color="000000" w:fill="FFFFFF"/>
            <w:vAlign w:val="center"/>
            <w:hideMark/>
          </w:tcPr>
          <w:p w14:paraId="3DC195B1" w14:textId="77777777" w:rsidR="00807428" w:rsidRDefault="00807428" w:rsidP="00363DD6">
            <w:pPr>
              <w:jc w:val="center"/>
              <w:rPr>
                <w:sz w:val="22"/>
                <w:szCs w:val="22"/>
              </w:rPr>
            </w:pPr>
            <w:r>
              <w:rPr>
                <w:sz w:val="22"/>
                <w:szCs w:val="22"/>
              </w:rPr>
              <w:t>0.115***</w:t>
            </w:r>
          </w:p>
        </w:tc>
        <w:tc>
          <w:tcPr>
            <w:tcW w:w="1428" w:type="dxa"/>
            <w:gridSpan w:val="3"/>
            <w:tcBorders>
              <w:top w:val="nil"/>
              <w:left w:val="nil"/>
              <w:bottom w:val="nil"/>
              <w:right w:val="nil"/>
            </w:tcBorders>
            <w:shd w:val="clear" w:color="000000" w:fill="FFFFFF"/>
            <w:vAlign w:val="center"/>
            <w:hideMark/>
          </w:tcPr>
          <w:p w14:paraId="469886AF" w14:textId="77777777" w:rsidR="00807428" w:rsidRDefault="00807428" w:rsidP="00363DD6">
            <w:pPr>
              <w:jc w:val="center"/>
              <w:rPr>
                <w:sz w:val="22"/>
                <w:szCs w:val="22"/>
              </w:rPr>
            </w:pPr>
            <w:r>
              <w:rPr>
                <w:sz w:val="22"/>
                <w:szCs w:val="22"/>
              </w:rPr>
              <w:t>0.403***</w:t>
            </w:r>
          </w:p>
        </w:tc>
        <w:tc>
          <w:tcPr>
            <w:tcW w:w="1427" w:type="dxa"/>
            <w:tcBorders>
              <w:top w:val="nil"/>
              <w:left w:val="nil"/>
              <w:bottom w:val="nil"/>
              <w:right w:val="nil"/>
            </w:tcBorders>
            <w:shd w:val="clear" w:color="000000" w:fill="FFFFFF"/>
            <w:vAlign w:val="center"/>
            <w:hideMark/>
          </w:tcPr>
          <w:p w14:paraId="6473CA2E" w14:textId="77777777" w:rsidR="00807428" w:rsidRDefault="00807428" w:rsidP="00363DD6">
            <w:pPr>
              <w:jc w:val="center"/>
              <w:rPr>
                <w:sz w:val="22"/>
                <w:szCs w:val="22"/>
              </w:rPr>
            </w:pPr>
            <w:r>
              <w:rPr>
                <w:sz w:val="22"/>
                <w:szCs w:val="22"/>
              </w:rPr>
              <w:t>0.084**</w:t>
            </w:r>
          </w:p>
        </w:tc>
        <w:tc>
          <w:tcPr>
            <w:tcW w:w="1428" w:type="dxa"/>
            <w:gridSpan w:val="2"/>
            <w:tcBorders>
              <w:top w:val="nil"/>
              <w:left w:val="nil"/>
              <w:bottom w:val="nil"/>
              <w:right w:val="nil"/>
            </w:tcBorders>
            <w:shd w:val="clear" w:color="000000" w:fill="FFFFFF"/>
            <w:vAlign w:val="center"/>
            <w:hideMark/>
          </w:tcPr>
          <w:p w14:paraId="4920220C" w14:textId="77777777" w:rsidR="00807428" w:rsidRDefault="00807428" w:rsidP="00363DD6">
            <w:pPr>
              <w:jc w:val="center"/>
              <w:rPr>
                <w:sz w:val="22"/>
                <w:szCs w:val="22"/>
              </w:rPr>
            </w:pPr>
            <w:r>
              <w:rPr>
                <w:sz w:val="22"/>
                <w:szCs w:val="22"/>
              </w:rPr>
              <w:t>-0.010</w:t>
            </w:r>
          </w:p>
        </w:tc>
      </w:tr>
      <w:tr w:rsidR="00807428" w:rsidRPr="0025020B" w14:paraId="02F8B5CF" w14:textId="77777777" w:rsidTr="00363DD6">
        <w:trPr>
          <w:trHeight w:val="20"/>
        </w:trPr>
        <w:tc>
          <w:tcPr>
            <w:tcW w:w="3380" w:type="dxa"/>
            <w:tcBorders>
              <w:top w:val="nil"/>
              <w:left w:val="nil"/>
              <w:bottom w:val="nil"/>
              <w:right w:val="nil"/>
            </w:tcBorders>
            <w:shd w:val="clear" w:color="000000" w:fill="FFFFFF"/>
            <w:vAlign w:val="center"/>
            <w:hideMark/>
          </w:tcPr>
          <w:p w14:paraId="1FC97A65" w14:textId="77777777" w:rsidR="00807428" w:rsidRPr="0025020B" w:rsidRDefault="00807428" w:rsidP="00363DD6">
            <w:pPr>
              <w:rPr>
                <w:sz w:val="21"/>
                <w:szCs w:val="21"/>
              </w:rPr>
            </w:pPr>
            <w:r w:rsidRPr="0025020B">
              <w:rPr>
                <w:sz w:val="21"/>
                <w:szCs w:val="21"/>
              </w:rPr>
              <w:t> </w:t>
            </w:r>
          </w:p>
        </w:tc>
        <w:tc>
          <w:tcPr>
            <w:tcW w:w="1480" w:type="dxa"/>
            <w:gridSpan w:val="2"/>
            <w:tcBorders>
              <w:top w:val="nil"/>
              <w:left w:val="nil"/>
              <w:bottom w:val="nil"/>
              <w:right w:val="nil"/>
            </w:tcBorders>
            <w:shd w:val="clear" w:color="000000" w:fill="FFFFFF"/>
            <w:vAlign w:val="center"/>
            <w:hideMark/>
          </w:tcPr>
          <w:p w14:paraId="0F694A7D" w14:textId="77777777" w:rsidR="00807428" w:rsidRDefault="00807428" w:rsidP="00363DD6">
            <w:pPr>
              <w:jc w:val="center"/>
              <w:rPr>
                <w:sz w:val="22"/>
                <w:szCs w:val="22"/>
              </w:rPr>
            </w:pPr>
            <w:r>
              <w:rPr>
                <w:sz w:val="22"/>
                <w:szCs w:val="22"/>
              </w:rPr>
              <w:t>(0.03)</w:t>
            </w:r>
          </w:p>
        </w:tc>
        <w:tc>
          <w:tcPr>
            <w:tcW w:w="1260" w:type="dxa"/>
            <w:tcBorders>
              <w:top w:val="nil"/>
              <w:left w:val="nil"/>
              <w:bottom w:val="nil"/>
              <w:right w:val="nil"/>
            </w:tcBorders>
            <w:shd w:val="clear" w:color="000000" w:fill="FFFFFF"/>
            <w:vAlign w:val="center"/>
            <w:hideMark/>
          </w:tcPr>
          <w:p w14:paraId="555B5010" w14:textId="77777777" w:rsidR="00807428" w:rsidRDefault="00807428" w:rsidP="00363DD6">
            <w:pPr>
              <w:jc w:val="center"/>
              <w:rPr>
                <w:sz w:val="22"/>
                <w:szCs w:val="22"/>
              </w:rPr>
            </w:pPr>
            <w:r>
              <w:rPr>
                <w:sz w:val="22"/>
                <w:szCs w:val="22"/>
              </w:rPr>
              <w:t>(0.04)</w:t>
            </w:r>
          </w:p>
        </w:tc>
        <w:tc>
          <w:tcPr>
            <w:tcW w:w="1620" w:type="dxa"/>
            <w:gridSpan w:val="3"/>
            <w:tcBorders>
              <w:top w:val="nil"/>
              <w:left w:val="nil"/>
              <w:bottom w:val="nil"/>
              <w:right w:val="nil"/>
            </w:tcBorders>
            <w:shd w:val="clear" w:color="000000" w:fill="FFFFFF"/>
            <w:vAlign w:val="center"/>
            <w:hideMark/>
          </w:tcPr>
          <w:p w14:paraId="2B1B4790" w14:textId="77777777" w:rsidR="00807428" w:rsidRDefault="00807428" w:rsidP="00363DD6">
            <w:pPr>
              <w:jc w:val="center"/>
              <w:rPr>
                <w:sz w:val="22"/>
                <w:szCs w:val="22"/>
              </w:rPr>
            </w:pPr>
            <w:r>
              <w:rPr>
                <w:sz w:val="22"/>
                <w:szCs w:val="22"/>
              </w:rPr>
              <w:t>(0.03)</w:t>
            </w:r>
          </w:p>
        </w:tc>
        <w:tc>
          <w:tcPr>
            <w:tcW w:w="1350" w:type="dxa"/>
            <w:tcBorders>
              <w:top w:val="nil"/>
              <w:left w:val="nil"/>
              <w:bottom w:val="nil"/>
              <w:right w:val="nil"/>
            </w:tcBorders>
            <w:shd w:val="clear" w:color="000000" w:fill="FFFFFF"/>
            <w:vAlign w:val="center"/>
            <w:hideMark/>
          </w:tcPr>
          <w:p w14:paraId="5095194E" w14:textId="77777777" w:rsidR="00807428" w:rsidRDefault="00807428" w:rsidP="00363DD6">
            <w:pPr>
              <w:jc w:val="center"/>
              <w:rPr>
                <w:sz w:val="22"/>
                <w:szCs w:val="22"/>
              </w:rPr>
            </w:pPr>
            <w:r>
              <w:rPr>
                <w:sz w:val="22"/>
                <w:szCs w:val="22"/>
              </w:rPr>
              <w:t>(0.03)</w:t>
            </w:r>
          </w:p>
        </w:tc>
      </w:tr>
      <w:tr w:rsidR="00807428" w:rsidRPr="0025020B" w14:paraId="1B156A6E" w14:textId="77777777" w:rsidTr="00363DD6">
        <w:trPr>
          <w:trHeight w:val="20"/>
        </w:trPr>
        <w:tc>
          <w:tcPr>
            <w:tcW w:w="3380" w:type="dxa"/>
            <w:tcBorders>
              <w:top w:val="nil"/>
              <w:left w:val="nil"/>
              <w:bottom w:val="nil"/>
              <w:right w:val="nil"/>
            </w:tcBorders>
            <w:shd w:val="clear" w:color="000000" w:fill="FFFFFF"/>
            <w:vAlign w:val="center"/>
            <w:hideMark/>
          </w:tcPr>
          <w:p w14:paraId="1A636BF7" w14:textId="77777777" w:rsidR="00807428" w:rsidRPr="0025020B" w:rsidRDefault="00807428" w:rsidP="00363DD6">
            <w:pPr>
              <w:rPr>
                <w:color w:val="000000"/>
                <w:sz w:val="21"/>
                <w:szCs w:val="21"/>
              </w:rPr>
            </w:pPr>
            <w:r w:rsidRPr="0025020B">
              <w:rPr>
                <w:color w:val="000000"/>
                <w:sz w:val="21"/>
                <w:szCs w:val="21"/>
              </w:rPr>
              <w:t>Tract to MSA median income</w:t>
            </w:r>
          </w:p>
        </w:tc>
        <w:tc>
          <w:tcPr>
            <w:tcW w:w="1480" w:type="dxa"/>
            <w:gridSpan w:val="2"/>
            <w:tcBorders>
              <w:top w:val="nil"/>
              <w:left w:val="nil"/>
              <w:bottom w:val="nil"/>
              <w:right w:val="nil"/>
            </w:tcBorders>
            <w:shd w:val="clear" w:color="000000" w:fill="FFFFFF"/>
            <w:vAlign w:val="center"/>
            <w:hideMark/>
          </w:tcPr>
          <w:p w14:paraId="7331AB30" w14:textId="77777777" w:rsidR="00807428" w:rsidRDefault="00807428" w:rsidP="00363DD6">
            <w:pPr>
              <w:jc w:val="center"/>
              <w:rPr>
                <w:sz w:val="22"/>
                <w:szCs w:val="22"/>
              </w:rPr>
            </w:pPr>
            <w:r>
              <w:rPr>
                <w:sz w:val="22"/>
                <w:szCs w:val="22"/>
              </w:rPr>
              <w:t>-0.017***</w:t>
            </w:r>
          </w:p>
        </w:tc>
        <w:tc>
          <w:tcPr>
            <w:tcW w:w="1260" w:type="dxa"/>
            <w:tcBorders>
              <w:top w:val="nil"/>
              <w:left w:val="nil"/>
              <w:bottom w:val="nil"/>
              <w:right w:val="nil"/>
            </w:tcBorders>
            <w:shd w:val="clear" w:color="000000" w:fill="FFFFFF"/>
            <w:vAlign w:val="center"/>
            <w:hideMark/>
          </w:tcPr>
          <w:p w14:paraId="538133B7" w14:textId="77777777" w:rsidR="00807428" w:rsidRDefault="00807428" w:rsidP="00363DD6">
            <w:pPr>
              <w:jc w:val="center"/>
              <w:rPr>
                <w:sz w:val="22"/>
                <w:szCs w:val="22"/>
              </w:rPr>
            </w:pPr>
            <w:r>
              <w:rPr>
                <w:sz w:val="22"/>
                <w:szCs w:val="22"/>
              </w:rPr>
              <w:t>-0.011***</w:t>
            </w:r>
          </w:p>
        </w:tc>
        <w:tc>
          <w:tcPr>
            <w:tcW w:w="1620" w:type="dxa"/>
            <w:gridSpan w:val="3"/>
            <w:tcBorders>
              <w:top w:val="nil"/>
              <w:left w:val="nil"/>
              <w:bottom w:val="nil"/>
              <w:right w:val="nil"/>
            </w:tcBorders>
            <w:shd w:val="clear" w:color="000000" w:fill="FFFFFF"/>
            <w:vAlign w:val="center"/>
            <w:hideMark/>
          </w:tcPr>
          <w:p w14:paraId="1EA9E73F" w14:textId="77777777" w:rsidR="00807428" w:rsidRDefault="00807428" w:rsidP="00363DD6">
            <w:pPr>
              <w:jc w:val="center"/>
              <w:rPr>
                <w:sz w:val="22"/>
                <w:szCs w:val="22"/>
              </w:rPr>
            </w:pPr>
            <w:r>
              <w:rPr>
                <w:sz w:val="22"/>
                <w:szCs w:val="22"/>
              </w:rPr>
              <w:t>-0.015***</w:t>
            </w:r>
          </w:p>
        </w:tc>
        <w:tc>
          <w:tcPr>
            <w:tcW w:w="1350" w:type="dxa"/>
            <w:tcBorders>
              <w:top w:val="nil"/>
              <w:left w:val="nil"/>
              <w:bottom w:val="nil"/>
              <w:right w:val="nil"/>
            </w:tcBorders>
            <w:shd w:val="clear" w:color="000000" w:fill="FFFFFF"/>
            <w:vAlign w:val="center"/>
            <w:hideMark/>
          </w:tcPr>
          <w:p w14:paraId="771927B6" w14:textId="77777777" w:rsidR="00807428" w:rsidRDefault="00807428" w:rsidP="00363DD6">
            <w:pPr>
              <w:jc w:val="center"/>
              <w:rPr>
                <w:sz w:val="22"/>
                <w:szCs w:val="22"/>
              </w:rPr>
            </w:pPr>
            <w:r>
              <w:rPr>
                <w:sz w:val="22"/>
                <w:szCs w:val="22"/>
              </w:rPr>
              <w:t>-0.003***</w:t>
            </w:r>
          </w:p>
        </w:tc>
      </w:tr>
      <w:tr w:rsidR="00807428" w:rsidRPr="0025020B" w14:paraId="6FCF57D7" w14:textId="77777777" w:rsidTr="00363DD6">
        <w:trPr>
          <w:trHeight w:val="20"/>
        </w:trPr>
        <w:tc>
          <w:tcPr>
            <w:tcW w:w="3380" w:type="dxa"/>
            <w:tcBorders>
              <w:top w:val="nil"/>
              <w:left w:val="nil"/>
              <w:bottom w:val="nil"/>
              <w:right w:val="nil"/>
            </w:tcBorders>
            <w:shd w:val="clear" w:color="000000" w:fill="FFFFFF"/>
            <w:vAlign w:val="center"/>
            <w:hideMark/>
          </w:tcPr>
          <w:p w14:paraId="1FA0B470" w14:textId="77777777" w:rsidR="00807428" w:rsidRPr="0025020B" w:rsidRDefault="00807428" w:rsidP="00363DD6">
            <w:pPr>
              <w:rPr>
                <w:sz w:val="21"/>
                <w:szCs w:val="21"/>
              </w:rPr>
            </w:pPr>
            <w:r w:rsidRPr="0025020B">
              <w:rPr>
                <w:sz w:val="21"/>
                <w:szCs w:val="21"/>
              </w:rPr>
              <w:t> </w:t>
            </w:r>
          </w:p>
        </w:tc>
        <w:tc>
          <w:tcPr>
            <w:tcW w:w="1480" w:type="dxa"/>
            <w:gridSpan w:val="2"/>
            <w:tcBorders>
              <w:top w:val="nil"/>
              <w:left w:val="nil"/>
              <w:bottom w:val="nil"/>
              <w:right w:val="nil"/>
            </w:tcBorders>
            <w:shd w:val="clear" w:color="000000" w:fill="FFFFFF"/>
            <w:vAlign w:val="center"/>
            <w:hideMark/>
          </w:tcPr>
          <w:p w14:paraId="7336E22F" w14:textId="77777777" w:rsidR="00807428" w:rsidRDefault="00807428" w:rsidP="00363DD6">
            <w:pPr>
              <w:jc w:val="center"/>
              <w:rPr>
                <w:sz w:val="22"/>
                <w:szCs w:val="22"/>
              </w:rPr>
            </w:pPr>
            <w:r>
              <w:rPr>
                <w:sz w:val="22"/>
                <w:szCs w:val="22"/>
              </w:rPr>
              <w:t>(0.00)</w:t>
            </w:r>
          </w:p>
        </w:tc>
        <w:tc>
          <w:tcPr>
            <w:tcW w:w="1260" w:type="dxa"/>
            <w:tcBorders>
              <w:top w:val="nil"/>
              <w:left w:val="nil"/>
              <w:bottom w:val="nil"/>
              <w:right w:val="nil"/>
            </w:tcBorders>
            <w:shd w:val="clear" w:color="000000" w:fill="FFFFFF"/>
            <w:vAlign w:val="center"/>
            <w:hideMark/>
          </w:tcPr>
          <w:p w14:paraId="1B901971" w14:textId="77777777" w:rsidR="00807428" w:rsidRDefault="00807428" w:rsidP="00363DD6">
            <w:pPr>
              <w:jc w:val="center"/>
              <w:rPr>
                <w:sz w:val="22"/>
                <w:szCs w:val="22"/>
              </w:rPr>
            </w:pPr>
            <w:r>
              <w:rPr>
                <w:sz w:val="22"/>
                <w:szCs w:val="22"/>
              </w:rPr>
              <w:t>(0.00)</w:t>
            </w:r>
          </w:p>
        </w:tc>
        <w:tc>
          <w:tcPr>
            <w:tcW w:w="1620" w:type="dxa"/>
            <w:gridSpan w:val="3"/>
            <w:tcBorders>
              <w:top w:val="nil"/>
              <w:left w:val="nil"/>
              <w:bottom w:val="nil"/>
              <w:right w:val="nil"/>
            </w:tcBorders>
            <w:shd w:val="clear" w:color="000000" w:fill="FFFFFF"/>
            <w:vAlign w:val="center"/>
            <w:hideMark/>
          </w:tcPr>
          <w:p w14:paraId="022CBAFA" w14:textId="77777777" w:rsidR="00807428" w:rsidRDefault="00807428" w:rsidP="00363DD6">
            <w:pPr>
              <w:jc w:val="center"/>
              <w:rPr>
                <w:sz w:val="22"/>
                <w:szCs w:val="22"/>
              </w:rPr>
            </w:pPr>
            <w:r>
              <w:rPr>
                <w:sz w:val="22"/>
                <w:szCs w:val="22"/>
              </w:rPr>
              <w:t>(0.00)</w:t>
            </w:r>
          </w:p>
        </w:tc>
        <w:tc>
          <w:tcPr>
            <w:tcW w:w="1350" w:type="dxa"/>
            <w:tcBorders>
              <w:top w:val="nil"/>
              <w:left w:val="nil"/>
              <w:bottom w:val="nil"/>
              <w:right w:val="nil"/>
            </w:tcBorders>
            <w:shd w:val="clear" w:color="000000" w:fill="FFFFFF"/>
            <w:vAlign w:val="center"/>
            <w:hideMark/>
          </w:tcPr>
          <w:p w14:paraId="090DC1C5" w14:textId="77777777" w:rsidR="00807428" w:rsidRDefault="00807428" w:rsidP="00363DD6">
            <w:pPr>
              <w:jc w:val="center"/>
              <w:rPr>
                <w:sz w:val="22"/>
                <w:szCs w:val="22"/>
              </w:rPr>
            </w:pPr>
            <w:r>
              <w:rPr>
                <w:sz w:val="22"/>
                <w:szCs w:val="22"/>
              </w:rPr>
              <w:t>(0.00)</w:t>
            </w:r>
          </w:p>
        </w:tc>
      </w:tr>
      <w:tr w:rsidR="00807428" w:rsidRPr="0025020B" w14:paraId="5130A86C" w14:textId="77777777" w:rsidTr="00363DD6">
        <w:trPr>
          <w:trHeight w:val="20"/>
        </w:trPr>
        <w:tc>
          <w:tcPr>
            <w:tcW w:w="3380" w:type="dxa"/>
            <w:tcBorders>
              <w:top w:val="nil"/>
              <w:left w:val="nil"/>
              <w:bottom w:val="nil"/>
              <w:right w:val="nil"/>
            </w:tcBorders>
            <w:shd w:val="clear" w:color="000000" w:fill="FFFFFF"/>
            <w:vAlign w:val="center"/>
            <w:hideMark/>
          </w:tcPr>
          <w:p w14:paraId="0069C990" w14:textId="77777777" w:rsidR="00807428" w:rsidRPr="0025020B" w:rsidRDefault="00807428" w:rsidP="00363DD6">
            <w:pPr>
              <w:rPr>
                <w:color w:val="000000"/>
                <w:sz w:val="21"/>
                <w:szCs w:val="21"/>
              </w:rPr>
            </w:pPr>
            <w:r w:rsidRPr="0025020B">
              <w:rPr>
                <w:color w:val="000000"/>
                <w:sz w:val="21"/>
                <w:szCs w:val="21"/>
              </w:rPr>
              <w:t>Lender market share</w:t>
            </w:r>
          </w:p>
        </w:tc>
        <w:tc>
          <w:tcPr>
            <w:tcW w:w="1480" w:type="dxa"/>
            <w:gridSpan w:val="2"/>
            <w:tcBorders>
              <w:top w:val="nil"/>
              <w:left w:val="nil"/>
              <w:bottom w:val="nil"/>
              <w:right w:val="nil"/>
            </w:tcBorders>
            <w:shd w:val="clear" w:color="000000" w:fill="FFFFFF"/>
            <w:vAlign w:val="center"/>
            <w:hideMark/>
          </w:tcPr>
          <w:p w14:paraId="7566443E" w14:textId="77777777" w:rsidR="00807428" w:rsidRDefault="00807428" w:rsidP="00363DD6">
            <w:pPr>
              <w:jc w:val="center"/>
              <w:rPr>
                <w:sz w:val="22"/>
                <w:szCs w:val="22"/>
              </w:rPr>
            </w:pPr>
            <w:r>
              <w:rPr>
                <w:sz w:val="22"/>
                <w:szCs w:val="22"/>
              </w:rPr>
              <w:t>0.245***</w:t>
            </w:r>
          </w:p>
        </w:tc>
        <w:tc>
          <w:tcPr>
            <w:tcW w:w="1260" w:type="dxa"/>
            <w:tcBorders>
              <w:top w:val="nil"/>
              <w:left w:val="nil"/>
              <w:bottom w:val="nil"/>
              <w:right w:val="nil"/>
            </w:tcBorders>
            <w:shd w:val="clear" w:color="000000" w:fill="FFFFFF"/>
            <w:vAlign w:val="center"/>
            <w:hideMark/>
          </w:tcPr>
          <w:p w14:paraId="6F5501CC" w14:textId="77777777" w:rsidR="00807428" w:rsidRDefault="00807428" w:rsidP="00363DD6">
            <w:pPr>
              <w:jc w:val="center"/>
              <w:rPr>
                <w:sz w:val="22"/>
                <w:szCs w:val="22"/>
              </w:rPr>
            </w:pPr>
            <w:r>
              <w:rPr>
                <w:sz w:val="22"/>
                <w:szCs w:val="22"/>
              </w:rPr>
              <w:t>0.200***</w:t>
            </w:r>
          </w:p>
        </w:tc>
        <w:tc>
          <w:tcPr>
            <w:tcW w:w="1620" w:type="dxa"/>
            <w:gridSpan w:val="3"/>
            <w:tcBorders>
              <w:top w:val="nil"/>
              <w:left w:val="nil"/>
              <w:bottom w:val="nil"/>
              <w:right w:val="nil"/>
            </w:tcBorders>
            <w:shd w:val="clear" w:color="000000" w:fill="FFFFFF"/>
            <w:vAlign w:val="center"/>
            <w:hideMark/>
          </w:tcPr>
          <w:p w14:paraId="2B32E054" w14:textId="77777777" w:rsidR="00807428" w:rsidRDefault="00807428" w:rsidP="00363DD6">
            <w:pPr>
              <w:jc w:val="center"/>
              <w:rPr>
                <w:sz w:val="22"/>
                <w:szCs w:val="22"/>
              </w:rPr>
            </w:pPr>
            <w:r>
              <w:rPr>
                <w:sz w:val="22"/>
                <w:szCs w:val="22"/>
              </w:rPr>
              <w:t>0.268***</w:t>
            </w:r>
          </w:p>
        </w:tc>
        <w:tc>
          <w:tcPr>
            <w:tcW w:w="1350" w:type="dxa"/>
            <w:tcBorders>
              <w:top w:val="nil"/>
              <w:left w:val="nil"/>
              <w:bottom w:val="nil"/>
              <w:right w:val="nil"/>
            </w:tcBorders>
            <w:shd w:val="clear" w:color="000000" w:fill="FFFFFF"/>
            <w:vAlign w:val="center"/>
            <w:hideMark/>
          </w:tcPr>
          <w:p w14:paraId="59D4BBAC" w14:textId="77777777" w:rsidR="00807428" w:rsidRDefault="00807428" w:rsidP="00363DD6">
            <w:pPr>
              <w:jc w:val="center"/>
              <w:rPr>
                <w:sz w:val="22"/>
                <w:szCs w:val="22"/>
              </w:rPr>
            </w:pPr>
            <w:r>
              <w:rPr>
                <w:sz w:val="22"/>
                <w:szCs w:val="22"/>
              </w:rPr>
              <w:t xml:space="preserve">0.18 </w:t>
            </w:r>
          </w:p>
        </w:tc>
      </w:tr>
      <w:tr w:rsidR="00807428" w:rsidRPr="0025020B" w14:paraId="384AEB2B" w14:textId="77777777" w:rsidTr="00363DD6">
        <w:trPr>
          <w:trHeight w:val="20"/>
        </w:trPr>
        <w:tc>
          <w:tcPr>
            <w:tcW w:w="3380" w:type="dxa"/>
            <w:tcBorders>
              <w:top w:val="nil"/>
              <w:left w:val="nil"/>
              <w:bottom w:val="single" w:sz="12" w:space="0" w:color="000000"/>
              <w:right w:val="nil"/>
            </w:tcBorders>
            <w:shd w:val="clear" w:color="000000" w:fill="FFFFFF"/>
            <w:vAlign w:val="center"/>
            <w:hideMark/>
          </w:tcPr>
          <w:p w14:paraId="52BA2980" w14:textId="77777777" w:rsidR="00807428" w:rsidRPr="0025020B" w:rsidRDefault="00807428" w:rsidP="00363DD6">
            <w:pPr>
              <w:rPr>
                <w:sz w:val="21"/>
                <w:szCs w:val="21"/>
              </w:rPr>
            </w:pPr>
            <w:r w:rsidRPr="0025020B">
              <w:rPr>
                <w:sz w:val="21"/>
                <w:szCs w:val="21"/>
              </w:rPr>
              <w:t> </w:t>
            </w:r>
          </w:p>
        </w:tc>
        <w:tc>
          <w:tcPr>
            <w:tcW w:w="1480" w:type="dxa"/>
            <w:gridSpan w:val="2"/>
            <w:tcBorders>
              <w:top w:val="nil"/>
              <w:left w:val="nil"/>
              <w:bottom w:val="single" w:sz="12" w:space="0" w:color="000000"/>
              <w:right w:val="nil"/>
            </w:tcBorders>
            <w:shd w:val="clear" w:color="000000" w:fill="FFFFFF"/>
            <w:vAlign w:val="center"/>
            <w:hideMark/>
          </w:tcPr>
          <w:p w14:paraId="4AD6ED6A" w14:textId="77777777" w:rsidR="00807428" w:rsidRDefault="00807428" w:rsidP="00363DD6">
            <w:pPr>
              <w:jc w:val="center"/>
              <w:rPr>
                <w:sz w:val="22"/>
                <w:szCs w:val="22"/>
              </w:rPr>
            </w:pPr>
            <w:r>
              <w:rPr>
                <w:sz w:val="22"/>
                <w:szCs w:val="22"/>
              </w:rPr>
              <w:t>(0.01)</w:t>
            </w:r>
          </w:p>
        </w:tc>
        <w:tc>
          <w:tcPr>
            <w:tcW w:w="1260" w:type="dxa"/>
            <w:tcBorders>
              <w:top w:val="nil"/>
              <w:left w:val="nil"/>
              <w:bottom w:val="single" w:sz="12" w:space="0" w:color="000000"/>
              <w:right w:val="nil"/>
            </w:tcBorders>
            <w:shd w:val="clear" w:color="000000" w:fill="FFFFFF"/>
            <w:vAlign w:val="center"/>
            <w:hideMark/>
          </w:tcPr>
          <w:p w14:paraId="325ED426" w14:textId="77777777" w:rsidR="00807428" w:rsidRDefault="00807428" w:rsidP="00363DD6">
            <w:pPr>
              <w:jc w:val="center"/>
              <w:rPr>
                <w:sz w:val="22"/>
                <w:szCs w:val="22"/>
              </w:rPr>
            </w:pPr>
            <w:r>
              <w:rPr>
                <w:sz w:val="22"/>
                <w:szCs w:val="22"/>
              </w:rPr>
              <w:t>(0.01)</w:t>
            </w:r>
          </w:p>
        </w:tc>
        <w:tc>
          <w:tcPr>
            <w:tcW w:w="1620" w:type="dxa"/>
            <w:gridSpan w:val="3"/>
            <w:tcBorders>
              <w:top w:val="nil"/>
              <w:left w:val="nil"/>
              <w:bottom w:val="single" w:sz="12" w:space="0" w:color="000000"/>
              <w:right w:val="nil"/>
            </w:tcBorders>
            <w:shd w:val="clear" w:color="000000" w:fill="FFFFFF"/>
            <w:vAlign w:val="center"/>
            <w:hideMark/>
          </w:tcPr>
          <w:p w14:paraId="7AFD8B12" w14:textId="77777777" w:rsidR="00807428" w:rsidRDefault="00807428" w:rsidP="00363DD6">
            <w:pPr>
              <w:jc w:val="center"/>
              <w:rPr>
                <w:sz w:val="22"/>
                <w:szCs w:val="22"/>
              </w:rPr>
            </w:pPr>
            <w:r>
              <w:rPr>
                <w:sz w:val="22"/>
                <w:szCs w:val="22"/>
              </w:rPr>
              <w:t>(0.01)</w:t>
            </w:r>
          </w:p>
        </w:tc>
        <w:tc>
          <w:tcPr>
            <w:tcW w:w="1350" w:type="dxa"/>
            <w:tcBorders>
              <w:top w:val="nil"/>
              <w:left w:val="nil"/>
              <w:bottom w:val="single" w:sz="12" w:space="0" w:color="000000"/>
              <w:right w:val="nil"/>
            </w:tcBorders>
            <w:shd w:val="clear" w:color="000000" w:fill="FFFFFF"/>
            <w:vAlign w:val="center"/>
            <w:hideMark/>
          </w:tcPr>
          <w:p w14:paraId="6BCD2680" w14:textId="77777777" w:rsidR="00807428" w:rsidRDefault="00807428" w:rsidP="00363DD6">
            <w:pPr>
              <w:jc w:val="center"/>
              <w:rPr>
                <w:sz w:val="22"/>
                <w:szCs w:val="22"/>
              </w:rPr>
            </w:pPr>
            <w:r>
              <w:rPr>
                <w:sz w:val="22"/>
                <w:szCs w:val="22"/>
              </w:rPr>
              <w:t>(0.36)</w:t>
            </w:r>
          </w:p>
        </w:tc>
      </w:tr>
      <w:tr w:rsidR="00807428" w:rsidRPr="0025020B" w14:paraId="196A9497" w14:textId="77777777" w:rsidTr="00363DD6">
        <w:trPr>
          <w:trHeight w:val="277"/>
        </w:trPr>
        <w:tc>
          <w:tcPr>
            <w:tcW w:w="3380" w:type="dxa"/>
            <w:tcBorders>
              <w:top w:val="single" w:sz="12" w:space="0" w:color="000000"/>
              <w:left w:val="nil"/>
              <w:bottom w:val="nil"/>
              <w:right w:val="nil"/>
            </w:tcBorders>
            <w:shd w:val="clear" w:color="000000" w:fill="FFFFFF"/>
            <w:vAlign w:val="center"/>
            <w:hideMark/>
          </w:tcPr>
          <w:p w14:paraId="2D2CB567" w14:textId="77777777" w:rsidR="00807428" w:rsidRPr="0025020B" w:rsidRDefault="00807428" w:rsidP="00363DD6">
            <w:pPr>
              <w:rPr>
                <w:color w:val="000000"/>
                <w:sz w:val="21"/>
                <w:szCs w:val="21"/>
              </w:rPr>
            </w:pPr>
            <w:r w:rsidRPr="0025020B">
              <w:rPr>
                <w:color w:val="000000"/>
                <w:sz w:val="21"/>
                <w:szCs w:val="21"/>
              </w:rPr>
              <w:t>Observations</w:t>
            </w:r>
          </w:p>
        </w:tc>
        <w:tc>
          <w:tcPr>
            <w:tcW w:w="1480" w:type="dxa"/>
            <w:gridSpan w:val="2"/>
            <w:tcBorders>
              <w:top w:val="single" w:sz="12" w:space="0" w:color="000000"/>
              <w:left w:val="nil"/>
              <w:bottom w:val="nil"/>
              <w:right w:val="nil"/>
            </w:tcBorders>
            <w:shd w:val="clear" w:color="000000" w:fill="FFFFFF"/>
            <w:vAlign w:val="center"/>
            <w:hideMark/>
          </w:tcPr>
          <w:p w14:paraId="2737EFA9" w14:textId="77777777" w:rsidR="00807428" w:rsidRPr="0025020B" w:rsidRDefault="00807428" w:rsidP="00363DD6">
            <w:pPr>
              <w:jc w:val="center"/>
              <w:rPr>
                <w:sz w:val="21"/>
                <w:szCs w:val="21"/>
              </w:rPr>
            </w:pPr>
            <w:r w:rsidRPr="0025020B">
              <w:rPr>
                <w:sz w:val="21"/>
                <w:szCs w:val="21"/>
              </w:rPr>
              <w:t>68,139</w:t>
            </w:r>
          </w:p>
        </w:tc>
        <w:tc>
          <w:tcPr>
            <w:tcW w:w="1260" w:type="dxa"/>
            <w:tcBorders>
              <w:top w:val="single" w:sz="12" w:space="0" w:color="000000"/>
              <w:left w:val="nil"/>
              <w:bottom w:val="nil"/>
              <w:right w:val="nil"/>
            </w:tcBorders>
            <w:shd w:val="clear" w:color="000000" w:fill="FFFFFF"/>
            <w:vAlign w:val="center"/>
            <w:hideMark/>
          </w:tcPr>
          <w:p w14:paraId="27F1E590" w14:textId="77777777" w:rsidR="00807428" w:rsidRPr="0025020B" w:rsidRDefault="00807428" w:rsidP="00363DD6">
            <w:pPr>
              <w:jc w:val="center"/>
              <w:rPr>
                <w:sz w:val="21"/>
                <w:szCs w:val="21"/>
              </w:rPr>
            </w:pPr>
            <w:r w:rsidRPr="0025020B">
              <w:rPr>
                <w:sz w:val="21"/>
                <w:szCs w:val="21"/>
              </w:rPr>
              <w:t>68,139</w:t>
            </w:r>
          </w:p>
        </w:tc>
        <w:tc>
          <w:tcPr>
            <w:tcW w:w="1620" w:type="dxa"/>
            <w:gridSpan w:val="3"/>
            <w:tcBorders>
              <w:top w:val="single" w:sz="12" w:space="0" w:color="000000"/>
              <w:left w:val="nil"/>
              <w:bottom w:val="nil"/>
              <w:right w:val="nil"/>
            </w:tcBorders>
            <w:shd w:val="clear" w:color="000000" w:fill="FFFFFF"/>
            <w:vAlign w:val="center"/>
            <w:hideMark/>
          </w:tcPr>
          <w:p w14:paraId="06007D83" w14:textId="77777777" w:rsidR="00807428" w:rsidRPr="0025020B" w:rsidRDefault="00807428" w:rsidP="00363DD6">
            <w:pPr>
              <w:jc w:val="center"/>
              <w:rPr>
                <w:sz w:val="21"/>
                <w:szCs w:val="21"/>
              </w:rPr>
            </w:pPr>
            <w:r w:rsidRPr="0025020B">
              <w:rPr>
                <w:sz w:val="21"/>
                <w:szCs w:val="21"/>
              </w:rPr>
              <w:t>68,139</w:t>
            </w:r>
          </w:p>
        </w:tc>
        <w:tc>
          <w:tcPr>
            <w:tcW w:w="1350" w:type="dxa"/>
            <w:tcBorders>
              <w:top w:val="single" w:sz="12" w:space="0" w:color="000000"/>
              <w:left w:val="nil"/>
              <w:bottom w:val="nil"/>
              <w:right w:val="nil"/>
            </w:tcBorders>
            <w:shd w:val="clear" w:color="000000" w:fill="FFFFFF"/>
            <w:vAlign w:val="center"/>
            <w:hideMark/>
          </w:tcPr>
          <w:p w14:paraId="5BDBC6E8" w14:textId="77777777" w:rsidR="00807428" w:rsidRPr="0025020B" w:rsidRDefault="00807428" w:rsidP="00363DD6">
            <w:pPr>
              <w:jc w:val="center"/>
              <w:rPr>
                <w:sz w:val="21"/>
                <w:szCs w:val="21"/>
              </w:rPr>
            </w:pPr>
            <w:r w:rsidRPr="0025020B">
              <w:rPr>
                <w:sz w:val="21"/>
                <w:szCs w:val="21"/>
              </w:rPr>
              <w:t>68,139</w:t>
            </w:r>
          </w:p>
        </w:tc>
      </w:tr>
      <w:tr w:rsidR="00807428" w:rsidRPr="0025020B" w14:paraId="0D57B8BB" w14:textId="77777777" w:rsidTr="00363DD6">
        <w:trPr>
          <w:trHeight w:val="20"/>
        </w:trPr>
        <w:tc>
          <w:tcPr>
            <w:tcW w:w="3380" w:type="dxa"/>
            <w:tcBorders>
              <w:top w:val="nil"/>
              <w:left w:val="nil"/>
              <w:bottom w:val="nil"/>
              <w:right w:val="nil"/>
            </w:tcBorders>
            <w:shd w:val="clear" w:color="000000" w:fill="FFFFFF"/>
            <w:vAlign w:val="center"/>
            <w:hideMark/>
          </w:tcPr>
          <w:p w14:paraId="28D32452" w14:textId="77777777" w:rsidR="00807428" w:rsidRPr="0025020B" w:rsidRDefault="00807428" w:rsidP="00363DD6">
            <w:pPr>
              <w:rPr>
                <w:color w:val="000000"/>
                <w:sz w:val="21"/>
                <w:szCs w:val="21"/>
              </w:rPr>
            </w:pPr>
            <w:r w:rsidRPr="0025020B">
              <w:rPr>
                <w:color w:val="000000"/>
                <w:sz w:val="21"/>
                <w:szCs w:val="21"/>
              </w:rPr>
              <w:t>R</w:t>
            </w:r>
            <w:r w:rsidRPr="0025020B">
              <w:rPr>
                <w:color w:val="000000"/>
                <w:sz w:val="21"/>
                <w:szCs w:val="21"/>
                <w:vertAlign w:val="superscript"/>
              </w:rPr>
              <w:t>2</w:t>
            </w:r>
          </w:p>
        </w:tc>
        <w:tc>
          <w:tcPr>
            <w:tcW w:w="1480" w:type="dxa"/>
            <w:gridSpan w:val="2"/>
            <w:tcBorders>
              <w:top w:val="nil"/>
              <w:left w:val="nil"/>
              <w:bottom w:val="nil"/>
              <w:right w:val="nil"/>
            </w:tcBorders>
            <w:shd w:val="clear" w:color="000000" w:fill="FFFFFF"/>
            <w:vAlign w:val="center"/>
            <w:hideMark/>
          </w:tcPr>
          <w:p w14:paraId="472531DC" w14:textId="77777777" w:rsidR="00807428" w:rsidRDefault="00807428" w:rsidP="00363DD6">
            <w:pPr>
              <w:jc w:val="center"/>
              <w:rPr>
                <w:sz w:val="22"/>
                <w:szCs w:val="22"/>
              </w:rPr>
            </w:pPr>
            <w:r>
              <w:rPr>
                <w:sz w:val="22"/>
                <w:szCs w:val="22"/>
              </w:rPr>
              <w:t xml:space="preserve">0.61 </w:t>
            </w:r>
          </w:p>
        </w:tc>
        <w:tc>
          <w:tcPr>
            <w:tcW w:w="1260" w:type="dxa"/>
            <w:tcBorders>
              <w:top w:val="nil"/>
              <w:left w:val="nil"/>
              <w:bottom w:val="nil"/>
              <w:right w:val="nil"/>
            </w:tcBorders>
            <w:shd w:val="clear" w:color="000000" w:fill="FFFFFF"/>
            <w:vAlign w:val="center"/>
            <w:hideMark/>
          </w:tcPr>
          <w:p w14:paraId="78F6971D" w14:textId="77777777" w:rsidR="00807428" w:rsidRDefault="00807428" w:rsidP="00363DD6">
            <w:pPr>
              <w:jc w:val="center"/>
              <w:rPr>
                <w:sz w:val="22"/>
                <w:szCs w:val="22"/>
              </w:rPr>
            </w:pPr>
            <w:r>
              <w:rPr>
                <w:sz w:val="22"/>
                <w:szCs w:val="22"/>
              </w:rPr>
              <w:t xml:space="preserve">0.53 </w:t>
            </w:r>
          </w:p>
        </w:tc>
        <w:tc>
          <w:tcPr>
            <w:tcW w:w="1620" w:type="dxa"/>
            <w:gridSpan w:val="3"/>
            <w:tcBorders>
              <w:top w:val="nil"/>
              <w:left w:val="nil"/>
              <w:bottom w:val="nil"/>
              <w:right w:val="nil"/>
            </w:tcBorders>
            <w:shd w:val="clear" w:color="000000" w:fill="FFFFFF"/>
            <w:vAlign w:val="center"/>
            <w:hideMark/>
          </w:tcPr>
          <w:p w14:paraId="27103DB4" w14:textId="77777777" w:rsidR="00807428" w:rsidRDefault="00807428" w:rsidP="00363DD6">
            <w:pPr>
              <w:jc w:val="center"/>
              <w:rPr>
                <w:sz w:val="22"/>
                <w:szCs w:val="22"/>
              </w:rPr>
            </w:pPr>
            <w:r>
              <w:rPr>
                <w:sz w:val="22"/>
                <w:szCs w:val="22"/>
              </w:rPr>
              <w:t xml:space="preserve">0.64 </w:t>
            </w:r>
          </w:p>
        </w:tc>
        <w:tc>
          <w:tcPr>
            <w:tcW w:w="1350" w:type="dxa"/>
            <w:tcBorders>
              <w:top w:val="nil"/>
              <w:left w:val="nil"/>
              <w:bottom w:val="nil"/>
              <w:right w:val="nil"/>
            </w:tcBorders>
            <w:shd w:val="clear" w:color="000000" w:fill="FFFFFF"/>
            <w:vAlign w:val="center"/>
            <w:hideMark/>
          </w:tcPr>
          <w:p w14:paraId="351BFA22" w14:textId="77777777" w:rsidR="00807428" w:rsidRDefault="00807428" w:rsidP="00363DD6">
            <w:pPr>
              <w:jc w:val="center"/>
              <w:rPr>
                <w:sz w:val="22"/>
                <w:szCs w:val="22"/>
              </w:rPr>
            </w:pPr>
            <w:r>
              <w:rPr>
                <w:sz w:val="22"/>
                <w:szCs w:val="22"/>
              </w:rPr>
              <w:t xml:space="preserve">0.68 </w:t>
            </w:r>
          </w:p>
        </w:tc>
      </w:tr>
      <w:tr w:rsidR="00807428" w:rsidRPr="0025020B" w14:paraId="32DB2966" w14:textId="77777777" w:rsidTr="00363DD6">
        <w:trPr>
          <w:trHeight w:val="20"/>
        </w:trPr>
        <w:tc>
          <w:tcPr>
            <w:tcW w:w="3380" w:type="dxa"/>
            <w:tcBorders>
              <w:top w:val="nil"/>
              <w:left w:val="nil"/>
              <w:bottom w:val="single" w:sz="12" w:space="0" w:color="000000"/>
              <w:right w:val="nil"/>
            </w:tcBorders>
            <w:shd w:val="clear" w:color="000000" w:fill="FFFFFF"/>
            <w:vAlign w:val="center"/>
            <w:hideMark/>
          </w:tcPr>
          <w:p w14:paraId="79569142" w14:textId="77777777" w:rsidR="00807428" w:rsidRPr="0025020B" w:rsidRDefault="00807428" w:rsidP="00363DD6">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1480" w:type="dxa"/>
            <w:gridSpan w:val="2"/>
            <w:tcBorders>
              <w:top w:val="nil"/>
              <w:left w:val="nil"/>
              <w:bottom w:val="single" w:sz="12" w:space="0" w:color="000000"/>
              <w:right w:val="nil"/>
            </w:tcBorders>
            <w:shd w:val="clear" w:color="000000" w:fill="FFFFFF"/>
            <w:vAlign w:val="center"/>
            <w:hideMark/>
          </w:tcPr>
          <w:p w14:paraId="090F7B14" w14:textId="77777777" w:rsidR="00807428" w:rsidRDefault="00807428" w:rsidP="00363DD6">
            <w:pPr>
              <w:jc w:val="center"/>
              <w:rPr>
                <w:sz w:val="22"/>
                <w:szCs w:val="22"/>
              </w:rPr>
            </w:pPr>
            <w:r>
              <w:rPr>
                <w:sz w:val="22"/>
                <w:szCs w:val="22"/>
              </w:rPr>
              <w:t xml:space="preserve">0.59 </w:t>
            </w:r>
          </w:p>
        </w:tc>
        <w:tc>
          <w:tcPr>
            <w:tcW w:w="1260" w:type="dxa"/>
            <w:tcBorders>
              <w:top w:val="nil"/>
              <w:left w:val="nil"/>
              <w:bottom w:val="single" w:sz="12" w:space="0" w:color="000000"/>
              <w:right w:val="nil"/>
            </w:tcBorders>
            <w:shd w:val="clear" w:color="000000" w:fill="FFFFFF"/>
            <w:vAlign w:val="center"/>
            <w:hideMark/>
          </w:tcPr>
          <w:p w14:paraId="31F16989" w14:textId="77777777" w:rsidR="00807428" w:rsidRDefault="00807428" w:rsidP="00363DD6">
            <w:pPr>
              <w:jc w:val="center"/>
              <w:rPr>
                <w:sz w:val="22"/>
                <w:szCs w:val="22"/>
              </w:rPr>
            </w:pPr>
            <w:r>
              <w:rPr>
                <w:sz w:val="22"/>
                <w:szCs w:val="22"/>
              </w:rPr>
              <w:t xml:space="preserve">0.52 </w:t>
            </w:r>
          </w:p>
        </w:tc>
        <w:tc>
          <w:tcPr>
            <w:tcW w:w="1620" w:type="dxa"/>
            <w:gridSpan w:val="3"/>
            <w:tcBorders>
              <w:top w:val="nil"/>
              <w:left w:val="nil"/>
              <w:bottom w:val="single" w:sz="12" w:space="0" w:color="000000"/>
              <w:right w:val="nil"/>
            </w:tcBorders>
            <w:shd w:val="clear" w:color="000000" w:fill="FFFFFF"/>
            <w:vAlign w:val="center"/>
            <w:hideMark/>
          </w:tcPr>
          <w:p w14:paraId="156A7A40" w14:textId="77777777" w:rsidR="00807428" w:rsidRDefault="00807428" w:rsidP="00363DD6">
            <w:pPr>
              <w:jc w:val="center"/>
              <w:rPr>
                <w:sz w:val="22"/>
                <w:szCs w:val="22"/>
              </w:rPr>
            </w:pPr>
            <w:r>
              <w:rPr>
                <w:sz w:val="22"/>
                <w:szCs w:val="22"/>
              </w:rPr>
              <w:t xml:space="preserve">0.62 </w:t>
            </w:r>
          </w:p>
        </w:tc>
        <w:tc>
          <w:tcPr>
            <w:tcW w:w="1350" w:type="dxa"/>
            <w:tcBorders>
              <w:top w:val="nil"/>
              <w:left w:val="nil"/>
              <w:bottom w:val="single" w:sz="12" w:space="0" w:color="000000"/>
              <w:right w:val="nil"/>
            </w:tcBorders>
            <w:shd w:val="clear" w:color="000000" w:fill="FFFFFF"/>
            <w:vAlign w:val="center"/>
            <w:hideMark/>
          </w:tcPr>
          <w:p w14:paraId="30E095AF" w14:textId="77777777" w:rsidR="00807428" w:rsidRDefault="00807428" w:rsidP="00363DD6">
            <w:pPr>
              <w:jc w:val="center"/>
              <w:rPr>
                <w:sz w:val="22"/>
                <w:szCs w:val="22"/>
              </w:rPr>
            </w:pPr>
            <w:r>
              <w:rPr>
                <w:sz w:val="22"/>
                <w:szCs w:val="22"/>
              </w:rPr>
              <w:t xml:space="preserve">0.64 </w:t>
            </w:r>
          </w:p>
        </w:tc>
      </w:tr>
    </w:tbl>
    <w:p w14:paraId="1CD00B31" w14:textId="77777777" w:rsidR="00807428" w:rsidRDefault="00807428" w:rsidP="00807428">
      <w:pPr>
        <w:rPr>
          <w:sz w:val="22"/>
        </w:rPr>
      </w:pPr>
      <w:r>
        <w:rPr>
          <w:sz w:val="22"/>
        </w:rPr>
        <w:lastRenderedPageBreak/>
        <w:t>The table on the previous page presents OLS estimates for 4 models of rate spread. Table 1 includes descriptive statistics for all variables seen above. Column (4) is the same as specification 4 in Table 2.  Column (5) includes all HMDA variables included in specification 3 and adds fixed effects on the most prominent lender in each tract with standard errors clustered at the lender level. Column (6) includes the variables in Column (4) and Column (5) with fixed effects on both county and lender. Column (7) includes all variables in Column (6) but adds the interaction between market share and the fixed effects on lender. Bootstrapped standard errors are presented in Column (6) and (7). Standard errors are in parenthesis.</w:t>
      </w:r>
    </w:p>
    <w:p w14:paraId="744A282C" w14:textId="77777777" w:rsidR="00807428" w:rsidRDefault="00807428" w:rsidP="00807428">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323F59C9" w14:textId="4489D2E4" w:rsidR="00807428" w:rsidRDefault="00807428" w:rsidP="00807428">
      <w:pPr>
        <w:spacing w:line="480" w:lineRule="auto"/>
        <w:ind w:firstLine="720"/>
      </w:pPr>
      <w:r w:rsidRPr="004D777B">
        <w:t xml:space="preserve">Considering the identical rate spread differentials in specification </w:t>
      </w:r>
      <w:r w:rsidR="00363DD6">
        <w:t>four</w:t>
      </w:r>
      <w:r w:rsidRPr="004D777B">
        <w:t xml:space="preserve"> and </w:t>
      </w:r>
      <w:r w:rsidR="00363DD6">
        <w:t>six</w:t>
      </w:r>
      <w:r w:rsidRPr="004D777B">
        <w:t xml:space="preserve">, it is likely that geographic fixed effects largely encapsulate the lender effects seen in previous studies. This may come as a result of aggregating the loans at the tract level. Whereas lenders vary widely at the national level, and thus for the individual applicants, at the local level only a subset of all national lenders will operate. These results suggested that while individual black applicants are more likely to use lenders that have </w:t>
      </w:r>
      <w:r>
        <w:t xml:space="preserve">a </w:t>
      </w:r>
      <w:r w:rsidRPr="004D777B">
        <w:t>higher incidence of high</w:t>
      </w:r>
      <w:r>
        <w:t>-</w:t>
      </w:r>
      <w:r w:rsidRPr="004D777B">
        <w:t xml:space="preserve">cost loans, black neighborhoods do not </w:t>
      </w:r>
      <w:r>
        <w:t>show</w:t>
      </w:r>
      <w:r w:rsidRPr="004D777B">
        <w:t xml:space="preserve"> the same aggregate shopping behavior once the geographic distribution of lenders is accounted for.</w:t>
      </w:r>
      <w:r>
        <w:t xml:space="preserve"> Also, in contrast to this paper, </w:t>
      </w:r>
      <w:proofErr w:type="spellStart"/>
      <w:r>
        <w:t>Bhutta</w:t>
      </w:r>
      <w:proofErr w:type="spellEnd"/>
      <w:r>
        <w:t xml:space="preserve"> and Ringo (2014) used a 1% matched dataset of credit statistics, and Bayer et al. (2018) used a matched dataset for seven large MSAs for their analysis. Matching the HMDA data with smaller subsets limits the overall scope of the analysis and constrains the use of geographic fixed effects. The use of a national dataset allows for county-level effects to be accounted for, which may encapsulate the lender effects found by </w:t>
      </w:r>
      <w:proofErr w:type="spellStart"/>
      <w:r>
        <w:t>Bhutta</w:t>
      </w:r>
      <w:proofErr w:type="spellEnd"/>
      <w:r>
        <w:t xml:space="preserve"> and Ringo (2014) and Bayer et al. (2018).</w:t>
      </w:r>
    </w:p>
    <w:p w14:paraId="4364349C" w14:textId="77777777" w:rsidR="00807428" w:rsidRDefault="00807428" w:rsidP="00807428">
      <w:pPr>
        <w:spacing w:line="480" w:lineRule="auto"/>
        <w:ind w:firstLine="720"/>
      </w:pPr>
      <w:r>
        <w:t xml:space="preserve">Additionally, previous studies used the binary incidence of a high-cost loan in place of continuous rate spreads. It may be that certain lenders are more willing to give high-cost loans, but on average, do not charge significantly higher rate spreads than other lenders. It is also possible that lenders are now more hesitant to offer high-cost loans. As mentioned previously, a number of lawsuits have been filed in recent years, and this may have had the effect of reducing the incidence of high-cost loans, even in cases where they were not inherently discriminatory. </w:t>
      </w:r>
    </w:p>
    <w:p w14:paraId="76430E2C" w14:textId="77777777" w:rsidR="00807428" w:rsidRDefault="00807428" w:rsidP="00807428">
      <w:pPr>
        <w:spacing w:line="480" w:lineRule="auto"/>
        <w:rPr>
          <w:i/>
        </w:rPr>
      </w:pPr>
      <w:r w:rsidRPr="00355DD5">
        <w:rPr>
          <w:i/>
        </w:rPr>
        <w:lastRenderedPageBreak/>
        <w:t>Limitations</w:t>
      </w:r>
    </w:p>
    <w:p w14:paraId="0583B575" w14:textId="77777777" w:rsidR="00807428" w:rsidRDefault="00807428" w:rsidP="00807428">
      <w:pPr>
        <w:spacing w:line="480" w:lineRule="auto"/>
        <w:ind w:firstLine="720"/>
      </w:pPr>
      <w:r>
        <w:t xml:space="preserve">Though the expanded HMDA dataset corrects for a number of the omitted variables of past releases of the data, a number of variables are still omitted and thus absent in this study. Principally these variables include foreclosure rates, prepayments, and a direct credit variable. It has long been speculated that black applicants face higher rate spreads and denial rates because of a higher tendency to default than white borrowers. The Financial Crisis appears to support this argument since minority borrowers did face higher rates of foreclosure, but this view is simplistic and does not consider predatory tactics that put minorities in high-cost loans which are more likely to default (Bayer et al. 2016; </w:t>
      </w:r>
      <w:r w:rsidRPr="00486A29">
        <w:rPr>
          <w:szCs w:val="24"/>
        </w:rPr>
        <w:t>Chan et al. 2015</w:t>
      </w:r>
      <w:r>
        <w:rPr>
          <w:szCs w:val="24"/>
        </w:rPr>
        <w:t xml:space="preserve">; </w:t>
      </w:r>
      <w:r w:rsidRPr="00486A29">
        <w:rPr>
          <w:szCs w:val="24"/>
        </w:rPr>
        <w:t xml:space="preserve">Mayer </w:t>
      </w:r>
      <w:r>
        <w:rPr>
          <w:szCs w:val="24"/>
        </w:rPr>
        <w:t>&amp; Sherlund</w:t>
      </w:r>
      <w:r w:rsidRPr="00486A29">
        <w:rPr>
          <w:szCs w:val="24"/>
        </w:rPr>
        <w:t xml:space="preserve"> 2008</w:t>
      </w:r>
      <w:r>
        <w:t xml:space="preserve">). Accounting for these practices and the weaker baseline financial characteristics of these borrowers, Kau et al. (2011) does not find any significant difference in default rates for black applicants. Further, they do find a significant impact on prepayment rates, but these effects lower the probability of prepayment, which should increase the desirability of loans originated to black applicants. </w:t>
      </w:r>
    </w:p>
    <w:p w14:paraId="28D50C91" w14:textId="77777777" w:rsidR="00807428" w:rsidRDefault="00807428" w:rsidP="00807428">
      <w:pPr>
        <w:spacing w:line="480" w:lineRule="auto"/>
        <w:ind w:firstLine="720"/>
      </w:pPr>
      <w:r>
        <w:t>Unlike most other fixed-income investments, such as US treasury bonds, investors in mortgages take on prepayment risk. This is the risk that borrowers prepay more rapidly when rates fall and prepay more slowly when rates rise. Both of these behaviors are disadvantageous to mortgage investors. The findings of Kau et al. (2011) indicate that black borrowers are less reactive to changes in interest rate, which should make these loans more attractive to lenders. In short, if race is going to be taken into account on the basis of default and prepayment risk, black borrowers should receive a rate spread discount for their expected behavior, not a rate premium. In the context of this study, this would suggest that omitting foreclosure and prepayment variables underestimates the pricing discrimination faced by black communities.</w:t>
      </w:r>
    </w:p>
    <w:p w14:paraId="104FDFF5" w14:textId="77777777" w:rsidR="00807428" w:rsidRDefault="00807428" w:rsidP="00807428">
      <w:pPr>
        <w:spacing w:line="480" w:lineRule="auto"/>
        <w:ind w:firstLine="720"/>
      </w:pPr>
      <w:r>
        <w:lastRenderedPageBreak/>
        <w:t>In regard to credit variables, this study does include a measure of credit approximate</w:t>
      </w:r>
      <w:r w:rsidR="0079590B">
        <w:t>d</w:t>
      </w:r>
      <w:r>
        <w:t xml:space="preserve"> by the credit denial rates within a tract. However, while this does serve to add credit </w:t>
      </w:r>
      <w:r w:rsidR="0079590B">
        <w:t>factors</w:t>
      </w:r>
      <w:r>
        <w:t xml:space="preserve"> to the model, this measure of credit is likely noisy and potentially does not fully capture the </w:t>
      </w:r>
      <w:r w:rsidR="0079590B">
        <w:t xml:space="preserve">full </w:t>
      </w:r>
      <w:r>
        <w:t xml:space="preserve">effect of credit on </w:t>
      </w:r>
      <w:r w:rsidR="0079590B">
        <w:t>rate spreads</w:t>
      </w:r>
      <w:r>
        <w:t>. This would predominantly be an issue in tracts with significant disparity between rejected and accepted applicant pools. At the level as granular as the tract, which is typically a small geographical area with approximately 4,000 residents</w:t>
      </w:r>
      <w:r>
        <w:rPr>
          <w:rStyle w:val="FootnoteReference"/>
        </w:rPr>
        <w:footnoteReference w:id="1"/>
      </w:r>
      <w:r>
        <w:t xml:space="preserve">, this disparity is likely small but, in some cases, may still bias the estimated strength of credit in an area. </w:t>
      </w:r>
    </w:p>
    <w:p w14:paraId="634F8634" w14:textId="77777777" w:rsidR="00807428" w:rsidRPr="00807428" w:rsidRDefault="00807428" w:rsidP="00807428">
      <w:pPr>
        <w:spacing w:line="480" w:lineRule="auto"/>
        <w:ind w:firstLine="720"/>
      </w:pPr>
      <w:r>
        <w:t xml:space="preserve">Further, the inclusion of county and lender fixed effects also helps account for inefficiencies in this study’s measure of credit.  County fixed effects encapsulate the strength of credit for residents in that region, and lender fixed effects encapsulate the variation in credit present in tracts that predominantly use that lender. This is especially true for lenders that cater to weaker borrowers. In aggregate, the use of credit denials and fixed effects likely do not fully capture the variation in credit between black and non-black neighborhoods, but together these variables likely significantly reduce the potential credit bias in the estimate for loan pricing discrimination. </w:t>
      </w:r>
    </w:p>
    <w:p w14:paraId="7CDC6EAD" w14:textId="77777777" w:rsidR="00E4043F" w:rsidRDefault="00E4043F"/>
    <w:sectPr w:rsidR="00E4043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6F292" w14:textId="77777777" w:rsidR="00231D5C" w:rsidRDefault="00231D5C" w:rsidP="00807428">
      <w:r>
        <w:separator/>
      </w:r>
    </w:p>
  </w:endnote>
  <w:endnote w:type="continuationSeparator" w:id="0">
    <w:p w14:paraId="6A0653B2" w14:textId="77777777" w:rsidR="00231D5C" w:rsidRDefault="00231D5C" w:rsidP="00807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140744"/>
      <w:docPartObj>
        <w:docPartGallery w:val="Page Numbers (Bottom of Page)"/>
        <w:docPartUnique/>
      </w:docPartObj>
    </w:sdtPr>
    <w:sdtEndPr>
      <w:rPr>
        <w:noProof/>
      </w:rPr>
    </w:sdtEndPr>
    <w:sdtContent>
      <w:p w14:paraId="08748B57" w14:textId="29FF1323" w:rsidR="004D6009" w:rsidRDefault="004D60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F29F97" w14:textId="77777777" w:rsidR="004D6009" w:rsidRDefault="004D6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F7C99" w14:textId="77777777" w:rsidR="00231D5C" w:rsidRDefault="00231D5C" w:rsidP="00807428">
      <w:r>
        <w:separator/>
      </w:r>
    </w:p>
  </w:footnote>
  <w:footnote w:type="continuationSeparator" w:id="0">
    <w:p w14:paraId="64A0A81C" w14:textId="77777777" w:rsidR="00231D5C" w:rsidRDefault="00231D5C" w:rsidP="00807428">
      <w:r>
        <w:continuationSeparator/>
      </w:r>
    </w:p>
  </w:footnote>
  <w:footnote w:id="1">
    <w:p w14:paraId="3B28421D" w14:textId="77777777" w:rsidR="00363DD6" w:rsidRDefault="00363DD6" w:rsidP="00807428">
      <w:pPr>
        <w:pStyle w:val="FootnoteText"/>
      </w:pPr>
      <w:r>
        <w:rPr>
          <w:rStyle w:val="FootnoteReference"/>
        </w:rPr>
        <w:footnoteRef/>
      </w:r>
      <w:r>
        <w:t xml:space="preserve"> See: </w:t>
      </w:r>
      <w:hyperlink r:id="rId1" w:history="1">
        <w:r w:rsidRPr="00671EDB">
          <w:rPr>
            <w:rStyle w:val="Hyperlink"/>
          </w:rPr>
          <w:t>https://www2.census.gov/geo/pdfs/education/CensusTracts.pdf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7316F"/>
    <w:multiLevelType w:val="hybridMultilevel"/>
    <w:tmpl w:val="FAA4224A"/>
    <w:lvl w:ilvl="0" w:tplc="12D490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xNTYxMTI0NDaztDRS0lEKTi0uzszPAykwrQUAfHPzKSwAAAA="/>
  </w:docVars>
  <w:rsids>
    <w:rsidRoot w:val="00807428"/>
    <w:rsid w:val="001826CC"/>
    <w:rsid w:val="001B1DE8"/>
    <w:rsid w:val="00231D5C"/>
    <w:rsid w:val="002354F5"/>
    <w:rsid w:val="002C74A8"/>
    <w:rsid w:val="002E3B6D"/>
    <w:rsid w:val="00363DD6"/>
    <w:rsid w:val="00401116"/>
    <w:rsid w:val="00412CC2"/>
    <w:rsid w:val="004731E4"/>
    <w:rsid w:val="004D6009"/>
    <w:rsid w:val="005A6F6B"/>
    <w:rsid w:val="0064327B"/>
    <w:rsid w:val="00687B14"/>
    <w:rsid w:val="00776D45"/>
    <w:rsid w:val="0079590B"/>
    <w:rsid w:val="00807428"/>
    <w:rsid w:val="00885F6E"/>
    <w:rsid w:val="009E6382"/>
    <w:rsid w:val="00AE6570"/>
    <w:rsid w:val="00B327D7"/>
    <w:rsid w:val="00B57FAF"/>
    <w:rsid w:val="00C82223"/>
    <w:rsid w:val="00D63920"/>
    <w:rsid w:val="00D80168"/>
    <w:rsid w:val="00E4043F"/>
    <w:rsid w:val="00EC771F"/>
    <w:rsid w:val="00F274C4"/>
    <w:rsid w:val="00F3133C"/>
    <w:rsid w:val="00F3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E280"/>
  <w15:chartTrackingRefBased/>
  <w15:docId w15:val="{D74036F3-CBE1-4158-B3CF-D3C5FBCC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7428"/>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428"/>
    <w:pPr>
      <w:ind w:left="720"/>
      <w:contextualSpacing/>
    </w:pPr>
  </w:style>
  <w:style w:type="paragraph" w:styleId="Header">
    <w:name w:val="header"/>
    <w:basedOn w:val="Normal"/>
    <w:link w:val="HeaderChar"/>
    <w:uiPriority w:val="99"/>
    <w:unhideWhenUsed/>
    <w:rsid w:val="00807428"/>
    <w:pPr>
      <w:tabs>
        <w:tab w:val="center" w:pos="4680"/>
        <w:tab w:val="right" w:pos="9360"/>
      </w:tabs>
    </w:pPr>
  </w:style>
  <w:style w:type="character" w:customStyle="1" w:styleId="HeaderChar">
    <w:name w:val="Header Char"/>
    <w:basedOn w:val="DefaultParagraphFont"/>
    <w:link w:val="Header"/>
    <w:uiPriority w:val="99"/>
    <w:rsid w:val="00807428"/>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807428"/>
    <w:pPr>
      <w:tabs>
        <w:tab w:val="center" w:pos="4680"/>
        <w:tab w:val="right" w:pos="9360"/>
      </w:tabs>
    </w:pPr>
  </w:style>
  <w:style w:type="character" w:customStyle="1" w:styleId="FooterChar">
    <w:name w:val="Footer Char"/>
    <w:basedOn w:val="DefaultParagraphFont"/>
    <w:link w:val="Footer"/>
    <w:uiPriority w:val="99"/>
    <w:rsid w:val="00807428"/>
    <w:rPr>
      <w:rFonts w:ascii="Times New Roman" w:eastAsia="Times New Roman" w:hAnsi="Times New Roman" w:cs="Times New Roman"/>
      <w:sz w:val="24"/>
      <w:szCs w:val="20"/>
    </w:rPr>
  </w:style>
  <w:style w:type="character" w:styleId="Hyperlink">
    <w:name w:val="Hyperlink"/>
    <w:basedOn w:val="DefaultParagraphFont"/>
    <w:uiPriority w:val="99"/>
    <w:unhideWhenUsed/>
    <w:rsid w:val="00807428"/>
    <w:rPr>
      <w:color w:val="0000FF"/>
      <w:u w:val="single"/>
    </w:rPr>
  </w:style>
  <w:style w:type="paragraph" w:styleId="EndnoteText">
    <w:name w:val="endnote text"/>
    <w:basedOn w:val="Normal"/>
    <w:link w:val="EndnoteTextChar"/>
    <w:uiPriority w:val="99"/>
    <w:semiHidden/>
    <w:unhideWhenUsed/>
    <w:rsid w:val="00807428"/>
    <w:rPr>
      <w:sz w:val="20"/>
    </w:rPr>
  </w:style>
  <w:style w:type="character" w:customStyle="1" w:styleId="EndnoteTextChar">
    <w:name w:val="Endnote Text Char"/>
    <w:basedOn w:val="DefaultParagraphFont"/>
    <w:link w:val="EndnoteText"/>
    <w:uiPriority w:val="99"/>
    <w:semiHidden/>
    <w:rsid w:val="0080742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07428"/>
    <w:rPr>
      <w:vertAlign w:val="superscript"/>
    </w:rPr>
  </w:style>
  <w:style w:type="paragraph" w:styleId="FootnoteText">
    <w:name w:val="footnote text"/>
    <w:basedOn w:val="Normal"/>
    <w:link w:val="FootnoteTextChar"/>
    <w:uiPriority w:val="99"/>
    <w:semiHidden/>
    <w:unhideWhenUsed/>
    <w:rsid w:val="00807428"/>
    <w:rPr>
      <w:sz w:val="20"/>
    </w:rPr>
  </w:style>
  <w:style w:type="character" w:customStyle="1" w:styleId="FootnoteTextChar">
    <w:name w:val="Footnote Text Char"/>
    <w:basedOn w:val="DefaultParagraphFont"/>
    <w:link w:val="FootnoteText"/>
    <w:uiPriority w:val="99"/>
    <w:semiHidden/>
    <w:rsid w:val="0080742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07428"/>
    <w:rPr>
      <w:vertAlign w:val="superscript"/>
    </w:rPr>
  </w:style>
  <w:style w:type="character" w:styleId="CommentReference">
    <w:name w:val="annotation reference"/>
    <w:basedOn w:val="DefaultParagraphFont"/>
    <w:uiPriority w:val="99"/>
    <w:semiHidden/>
    <w:unhideWhenUsed/>
    <w:rsid w:val="00807428"/>
    <w:rPr>
      <w:sz w:val="16"/>
      <w:szCs w:val="16"/>
    </w:rPr>
  </w:style>
  <w:style w:type="paragraph" w:styleId="CommentText">
    <w:name w:val="annotation text"/>
    <w:basedOn w:val="Normal"/>
    <w:link w:val="CommentTextChar"/>
    <w:uiPriority w:val="99"/>
    <w:semiHidden/>
    <w:unhideWhenUsed/>
    <w:rsid w:val="00807428"/>
    <w:rPr>
      <w:sz w:val="20"/>
    </w:rPr>
  </w:style>
  <w:style w:type="character" w:customStyle="1" w:styleId="CommentTextChar">
    <w:name w:val="Comment Text Char"/>
    <w:basedOn w:val="DefaultParagraphFont"/>
    <w:link w:val="CommentText"/>
    <w:uiPriority w:val="99"/>
    <w:semiHidden/>
    <w:rsid w:val="0080742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7428"/>
    <w:rPr>
      <w:b/>
      <w:bCs/>
    </w:rPr>
  </w:style>
  <w:style w:type="character" w:customStyle="1" w:styleId="CommentSubjectChar">
    <w:name w:val="Comment Subject Char"/>
    <w:basedOn w:val="CommentTextChar"/>
    <w:link w:val="CommentSubject"/>
    <w:uiPriority w:val="99"/>
    <w:semiHidden/>
    <w:rsid w:val="0080742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074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428"/>
    <w:rPr>
      <w:rFonts w:ascii="Segoe UI" w:eastAsia="Times New Roman" w:hAnsi="Segoe UI" w:cs="Segoe UI"/>
      <w:sz w:val="18"/>
      <w:szCs w:val="18"/>
    </w:rPr>
  </w:style>
  <w:style w:type="paragraph" w:styleId="NoSpacing">
    <w:name w:val="No Spacing"/>
    <w:link w:val="NoSpacingChar"/>
    <w:uiPriority w:val="1"/>
    <w:qFormat/>
    <w:rsid w:val="00807428"/>
    <w:pPr>
      <w:spacing w:after="0" w:line="240" w:lineRule="auto"/>
    </w:pPr>
    <w:rPr>
      <w:rFonts w:eastAsiaTheme="minorEastAsia"/>
    </w:rPr>
  </w:style>
  <w:style w:type="character" w:customStyle="1" w:styleId="NoSpacingChar">
    <w:name w:val="No Spacing Char"/>
    <w:basedOn w:val="DefaultParagraphFont"/>
    <w:link w:val="NoSpacing"/>
    <w:uiPriority w:val="1"/>
    <w:rsid w:val="00807428"/>
    <w:rPr>
      <w:rFonts w:eastAsiaTheme="minorEastAsia"/>
    </w:rPr>
  </w:style>
  <w:style w:type="character" w:styleId="PlaceholderText">
    <w:name w:val="Placeholder Text"/>
    <w:basedOn w:val="DefaultParagraphFont"/>
    <w:uiPriority w:val="99"/>
    <w:semiHidden/>
    <w:rsid w:val="00807428"/>
    <w:rPr>
      <w:color w:val="808080"/>
    </w:rPr>
  </w:style>
  <w:style w:type="character" w:styleId="UnresolvedMention">
    <w:name w:val="Unresolved Mention"/>
    <w:basedOn w:val="DefaultParagraphFont"/>
    <w:uiPriority w:val="99"/>
    <w:semiHidden/>
    <w:unhideWhenUsed/>
    <w:rsid w:val="00807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2.census.gov/geo/pdfs/education/CensusTrac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Nicholson</dc:creator>
  <cp:keywords/>
  <dc:description/>
  <cp:lastModifiedBy>Michael Nicholson</cp:lastModifiedBy>
  <cp:revision>24</cp:revision>
  <cp:lastPrinted>2020-01-26T17:28:00Z</cp:lastPrinted>
  <dcterms:created xsi:type="dcterms:W3CDTF">2020-01-25T19:14:00Z</dcterms:created>
  <dcterms:modified xsi:type="dcterms:W3CDTF">2020-01-29T02:56:00Z</dcterms:modified>
</cp:coreProperties>
</file>