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RESEARCH部 — ビジネス要件定義書 (BRD) v1.0</w:t>
      </w:r>
    </w:p>
    <w:p>
      <w:pPr>
        <w:jc w:val="center"/>
      </w:pPr>
      <w:r>
        <w:rPr>
          <w:sz w:val="24"/>
        </w:rPr>
        <w:t>EC仕入れリサーチ自動化システム（RESEARCH）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RESEARCH部 ビジネス要件定義書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最終更新日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NiceEze 自律COO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承認者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代表取締役CEO 松浦 学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承認済（Gate 1スプリント適用中）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関連文書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RESEARCH_SRS_v1.0.docx / RESEARCH_SEQ_v1.0.pptx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ビジネス背景（EC仕入れ情報格差問題）</w:t>
      </w:r>
    </w:p>
    <w:p>
      <w:pPr>
        <w:spacing w:before="0" w:after="40"/>
      </w:pPr>
      <w:r>
        <w:rPr>
          <w:sz w:val="21"/>
        </w:rPr>
        <w:t>EC仕入れ業務において、仕入れ担当者は複数プラットフォーム（Amazon・楽天・Yahoo等）の価格を手動で調査しており、1商品あたり30〜60分の調査工数が発生している。情報非対称性により最安仕入れ先の見逃しが頻発し、利益率の低下と意思決定の遅延が深刻な課題となっている。また、定番商品の選定はバイヤーの経験則に依存しており、データドリブンな判断基準が欠如している。RESEARCH部は8社固定プラットフォームの価格マトリクス自動取得・トレンドスコア算出・統合ダッシュボード提供により、価格調査時間80%削減・定番商品判定精度85%以上を目標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課題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現状値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RESEARCH目標値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価格調査工数（1商品）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30〜60分/件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6分以内（80%削減）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調査対象プラットフォーム数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担当者依存（2〜4社）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8社固定（均一カバレッジ）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定番商品判定精度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経験則（定量基準なし）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≥85%（retention_score）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情報非対称性リスク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高（最安先見逃し多数）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最安amber強調で即時把握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主要機能一覧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RES-A01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8社価格マトリクス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Amazon/楽天/Yahoo/au PAY/Qoo10/ヨドバシ/ビック/ヤマダの8社固定。unit_price/case_price取得。SHA-256 cache_key管理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RES-A02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トレンドスコア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growth_score/bestseller_score/retention_score算出。RETENTION_THRESHOLD=0.6でis_staple判定。≥0.8でTODO起票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RES-A03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統合ダッシュボード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RES-A01/A02タブ切替。モバイル対応。IndexedDB niceeze_cache_v142キャッシュ。LAYOUT_MASTER準拠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ステークホルダー定義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ステークホルダー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主要タッチポイント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仕入れ担当者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価格マトリクス参照・発注判断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RES-A01 価格マトリクス画面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EC運営者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トレンド分析・商品選定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RES-A02 トレンド分析画面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CEO（松浦 学）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KPI確認・Gate承認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統合ダッシュボード / COO報告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成功指標（KPI）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価格調査時間削減率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≥80%削減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調査工数ビフォーアフター計測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定番商品判定精度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≥85%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retention_score実績 vs 実売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G2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APIレスポンス時間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≤0.7秒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 p95レイテンシ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APIキーフロント露出件数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bandit自動スキャン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テスト全Pass数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38テスト全Pass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unittest CI結果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月額インフラコスト（MVP）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¥0（無料枠）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GCP請求 / 月次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Gate制（G0〜G4）/ FinOps 月額上限管理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完了条件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FinOps上限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GCP環境構築・Secret Manager設定完了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¥0（無料枠）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インフラ基盤のみ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RES-A01/A02基本動作・bandit 0件・38テスト全Pass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¥0（無料枠内）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 v142 / Cloud Run無料枠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RES-A03統合ダッシュボード完成・KPI初期計測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¥2,250〜¥4,500/月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Keepa API / Google Trends実連携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AI強化（Claude API統合）・定番判定精度≥85%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¥4,500/月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Claude API月次呼出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全機能Go-Live・全KPI達成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¥5,000/月上限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スケールアップ準備</w:t>
            </w:r>
          </w:p>
        </w:tc>
      </w:tr>
    </w:tbl>
    <w:p>
      <w:pPr>
        <w:spacing w:before="0" w:after="40"/>
      </w:pPr>
      <w:r>
        <w:rPr>
          <w:sz w:val="21"/>
        </w:rPr>
        <w:t>FinOps原則: MVP（G1完了）時点での月額インフラコスト¥0（Cloud Run・Firestore無料枠活用）。G3以降のClaude API費用は月¥2,250〜¥4,500。月額上限¥5,000でGCP予算アラート設定。</w:t>
      </w:r>
    </w:p>
    <w:p>
      <w:pPr>
        <w:spacing w:before="120" w:after="40"/>
      </w:pPr>
      <w:r>
        <w:rPr>
          <w:b/>
          <w:color w:val="1A3A5C"/>
          <w:sz w:val="24"/>
        </w:rPr>
        <w:t>7. 制約条件・前提条件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bandit 0件必須（CI自動チェック）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プライバシー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PII不使用（個人情報を収集・処理しない）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暗号化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AES-256暗号化 + RLS（Firestore）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パフォーマンス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APIレスポンス0.7秒以下（Cloud Run p95）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UI準拠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LAYOUT_MASTER準拠（font-mono tabular-nums tracking-tight）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キャッシュ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IndexedDB niceeze_cache_v142 使用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GCP Secret ManagerにAPIキー設定済み（Gate 0）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research_dashboard.html がG1完了時点で実装済み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RESEARCH部 リサーチ情報システム  |  ビジネス要件定義書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