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SURPLUS_SHIFT — ビジネス要件定義書 (BRD) v1.0</w:t>
      </w:r>
    </w:p>
    <w:p>
      <w:pPr>
        <w:jc w:val="center"/>
      </w:pPr>
      <w:r>
        <w:rPr>
          <w:sz w:val="24"/>
        </w:rPr>
        <w:t>余剰在庫転換システム（SURPLUS_SHIFT）　v1.0</w:t>
      </w:r>
    </w:p>
    <w:p/>
    <w:p>
      <w:pPr>
        <w:spacing w:before="120" w:after="40"/>
      </w:pPr>
      <w:r>
        <w:rPr>
          <w:b/>
          <w:color w:val="1A3A5C"/>
          <w:sz w:val="24"/>
        </w:rPr>
        <w:t>1. 文書管理表</w:t>
      </w:r>
    </w:p>
    <w:tbl>
      <w:tblPr>
        <w:tblStyle w:val="TableGrid"/>
        <w:tblW w:type="auto" w:w="0"/>
        <w:tblLook w:firstColumn="1" w:firstRow="1" w:lastColumn="0" w:lastRow="0" w:noHBand="0" w:noVBand="1" w:val="04A0"/>
        <w:tblW w:w="9026" w:type="dxa"/>
      </w:tblPr>
      <w:tblGrid>
        <w:gridCol w:w="4986"/>
        <w:gridCol w:w="4986"/>
      </w:tblGrid>
      <w:tr>
        <w:tc>
          <w:tcPr>
            <w:tcW w:type="dxa" w:w="4986"/>
            <w:shd w:val="clear" w:color="auto" w:fill="1a3a5c"/>
          </w:tcPr>
          <w:p>
            <w:pPr>
              <w:jc w:val="center"/>
            </w:pPr>
            <w:r>
              <w:rPr>
                <w:b/>
                <w:color w:val="FFFFFF"/>
                <w:sz w:val="18"/>
              </w:rPr>
              <w:t>項目</w:t>
            </w:r>
          </w:p>
        </w:tc>
        <w:tc>
          <w:tcPr>
            <w:tcW w:type="dxa" w:w="4986"/>
            <w:shd w:val="clear" w:color="auto" w:fill="1a3a5c"/>
          </w:tcPr>
          <w:p>
            <w:pPr>
              <w:jc w:val="center"/>
            </w:pPr>
            <w:r>
              <w:rPr>
                <w:b/>
                <w:color w:val="FFFFFF"/>
                <w:sz w:val="18"/>
              </w:rPr>
              <w:t>内容</w:t>
            </w:r>
          </w:p>
        </w:tc>
      </w:tr>
      <w:tr>
        <w:tc>
          <w:tcPr>
            <w:tcW w:type="dxa" w:w="4986"/>
            <w:shd w:val="clear" w:color="auto" w:fill="F0F4F8"/>
          </w:tcPr>
          <w:p>
            <w:r>
              <w:rPr>
                <w:sz w:val="18"/>
              </w:rPr>
              <w:t>文書名</w:t>
            </w:r>
          </w:p>
        </w:tc>
        <w:tc>
          <w:tcPr>
            <w:tcW w:type="dxa" w:w="4986"/>
            <w:shd w:val="clear" w:color="auto" w:fill="F0F4F8"/>
          </w:tcPr>
          <w:p>
            <w:r>
              <w:rPr>
                <w:sz w:val="18"/>
              </w:rPr>
              <w:t>SURPLUS_SHIFT ビジネス要件定義書</w:t>
            </w:r>
          </w:p>
        </w:tc>
      </w:tr>
      <w:tr>
        <w:tc>
          <w:tcPr>
            <w:tcW w:type="dxa" w:w="4986"/>
            <w:shd w:val="clear" w:color="auto" w:fill="FFFFFF"/>
          </w:tcPr>
          <w:p>
            <w:r>
              <w:rPr>
                <w:sz w:val="18"/>
              </w:rPr>
              <w:t>バージョン</w:t>
            </w:r>
          </w:p>
        </w:tc>
        <w:tc>
          <w:tcPr>
            <w:tcW w:type="dxa" w:w="4986"/>
            <w:shd w:val="clear" w:color="auto" w:fill="FFFFFF"/>
          </w:tcPr>
          <w:p>
            <w:r>
              <w:rPr>
                <w:sz w:val="18"/>
              </w:rPr>
              <w:t>v1.0</w:t>
            </w:r>
          </w:p>
        </w:tc>
      </w:tr>
      <w:tr>
        <w:tc>
          <w:tcPr>
            <w:tcW w:type="dxa" w:w="4986"/>
            <w:shd w:val="clear" w:color="auto" w:fill="F0F4F8"/>
          </w:tcPr>
          <w:p>
            <w:r>
              <w:rPr>
                <w:sz w:val="18"/>
              </w:rPr>
              <w:t>作成日</w:t>
            </w:r>
          </w:p>
        </w:tc>
        <w:tc>
          <w:tcPr>
            <w:tcW w:type="dxa" w:w="4986"/>
            <w:shd w:val="clear" w:color="auto" w:fill="F0F4F8"/>
          </w:tcPr>
          <w:p>
            <w:r>
              <w:rPr>
                <w:sz w:val="18"/>
              </w:rPr>
              <w:t>2026-06-05</w:t>
            </w:r>
          </w:p>
        </w:tc>
      </w:tr>
      <w:tr>
        <w:tc>
          <w:tcPr>
            <w:tcW w:type="dxa" w:w="4986"/>
            <w:shd w:val="clear" w:color="auto" w:fill="FFFFFF"/>
          </w:tcPr>
          <w:p>
            <w:r>
              <w:rPr>
                <w:sz w:val="18"/>
              </w:rPr>
              <w:t>最終更新日</w:t>
            </w:r>
          </w:p>
        </w:tc>
        <w:tc>
          <w:tcPr>
            <w:tcW w:type="dxa" w:w="4986"/>
            <w:shd w:val="clear" w:color="auto" w:fill="FFFFFF"/>
          </w:tcPr>
          <w:p>
            <w:r>
              <w:rPr>
                <w:sz w:val="18"/>
              </w:rPr>
              <w:t>2026-06-05</w:t>
            </w:r>
          </w:p>
        </w:tc>
      </w:tr>
      <w:tr>
        <w:tc>
          <w:tcPr>
            <w:tcW w:type="dxa" w:w="4986"/>
            <w:shd w:val="clear" w:color="auto" w:fill="F0F4F8"/>
          </w:tcPr>
          <w:p>
            <w:r>
              <w:rPr>
                <w:sz w:val="18"/>
              </w:rPr>
              <w:t>作成者</w:t>
            </w:r>
          </w:p>
        </w:tc>
        <w:tc>
          <w:tcPr>
            <w:tcW w:type="dxa" w:w="4986"/>
            <w:shd w:val="clear" w:color="auto" w:fill="F0F4F8"/>
          </w:tcPr>
          <w:p>
            <w:r>
              <w:rPr>
                <w:sz w:val="18"/>
              </w:rPr>
              <w:t>NiceEze 自律COO</w:t>
            </w:r>
          </w:p>
        </w:tc>
      </w:tr>
      <w:tr>
        <w:tc>
          <w:tcPr>
            <w:tcW w:type="dxa" w:w="4986"/>
            <w:shd w:val="clear" w:color="auto" w:fill="FFFFFF"/>
          </w:tcPr>
          <w:p>
            <w:r>
              <w:rPr>
                <w:sz w:val="18"/>
              </w:rPr>
              <w:t>承認者</w:t>
            </w:r>
          </w:p>
        </w:tc>
        <w:tc>
          <w:tcPr>
            <w:tcW w:type="dxa" w:w="4986"/>
            <w:shd w:val="clear" w:color="auto" w:fill="FFFFFF"/>
          </w:tcPr>
          <w:p>
            <w:r>
              <w:rPr>
                <w:sz w:val="18"/>
              </w:rPr>
              <w:t>代表取締役CEO 松浦 学</w:t>
            </w:r>
          </w:p>
        </w:tc>
      </w:tr>
      <w:tr>
        <w:tc>
          <w:tcPr>
            <w:tcW w:type="dxa" w:w="4986"/>
            <w:shd w:val="clear" w:color="auto" w:fill="F0F4F8"/>
          </w:tcPr>
          <w:p>
            <w:r>
              <w:rPr>
                <w:sz w:val="18"/>
              </w:rPr>
              <w:t>ステータス</w:t>
            </w:r>
          </w:p>
        </w:tc>
        <w:tc>
          <w:tcPr>
            <w:tcW w:type="dxa" w:w="4986"/>
            <w:shd w:val="clear" w:color="auto" w:fill="F0F4F8"/>
          </w:tcPr>
          <w:p>
            <w:r>
              <w:rPr>
                <w:sz w:val="18"/>
              </w:rPr>
              <w:t>承認済（Gate 1スプリント適用中）</w:t>
            </w:r>
          </w:p>
        </w:tc>
      </w:tr>
      <w:tr>
        <w:tc>
          <w:tcPr>
            <w:tcW w:type="dxa" w:w="4986"/>
            <w:shd w:val="clear" w:color="auto" w:fill="FFFFFF"/>
          </w:tcPr>
          <w:p>
            <w:r>
              <w:rPr>
                <w:sz w:val="18"/>
              </w:rPr>
              <w:t>関連文書</w:t>
            </w:r>
          </w:p>
        </w:tc>
        <w:tc>
          <w:tcPr>
            <w:tcW w:type="dxa" w:w="4986"/>
            <w:shd w:val="clear" w:color="auto" w:fill="FFFFFF"/>
          </w:tcPr>
          <w:p>
            <w:r>
              <w:rPr>
                <w:sz w:val="18"/>
              </w:rPr>
              <w:t>SURPLUS_SHIFT_SRS_v1.0.docx / PLAN-20260605-001</w:t>
            </w:r>
          </w:p>
        </w:tc>
      </w:tr>
    </w:tbl>
    <w:p>
      <w:pPr>
        <w:spacing w:before="120" w:after="40"/>
      </w:pPr>
      <w:r>
        <w:rPr>
          <w:b/>
          <w:color w:val="1A3A5C"/>
          <w:sz w:val="24"/>
        </w:rPr>
        <w:t>2. ビジネス背景（余剰在庫問題）</w:t>
      </w:r>
    </w:p>
    <w:p>
      <w:pPr>
        <w:spacing w:before="0" w:after="40"/>
      </w:pPr>
      <w:r>
        <w:rPr>
          <w:sz w:val="21"/>
        </w:rPr>
        <w:t>EC仕入れ業者・製造業者において、需要予測の誤差や季節変動により余剰在庫が慢性的に発生している。余剰在庫は保管コスト・廃棄コストの増大を招き、キャッシュフロー悪化・機会損失の主要因となっている。特に中小規模のEC事業者は適切な買い手とのマッチングチャネルを持たず、不良在庫を廃棄または大幅値引きで処分せざるを得ない状況が続いている。SURPLUS_SHIFTは余剰在庫の自動検知・買い手マッチング・転換実行を統合し、在庫転換率70%以上・平均マッチング時間48時間以内を目標とする。</w:t>
      </w:r>
    </w:p>
    <w:tbl>
      <w:tblPr>
        <w:tblStyle w:val="TableGrid"/>
        <w:tblW w:type="auto" w:w="0"/>
        <w:tblLook w:firstColumn="1" w:firstRow="1" w:lastColumn="0" w:lastRow="0" w:noHBand="0" w:noVBand="1" w:val="04A0"/>
        <w:tblW w:w="9026" w:type="dxa"/>
      </w:tblPr>
      <w:tblGrid>
        <w:gridCol w:w="3324"/>
        <w:gridCol w:w="3324"/>
        <w:gridCol w:w="3324"/>
      </w:tblGrid>
      <w:tr>
        <w:tc>
          <w:tcPr>
            <w:tcW w:type="dxa" w:w="3324"/>
            <w:shd w:val="clear" w:color="auto" w:fill="1a3a5c"/>
          </w:tcPr>
          <w:p>
            <w:pPr>
              <w:jc w:val="center"/>
            </w:pPr>
            <w:r>
              <w:rPr>
                <w:b/>
                <w:color w:val="FFFFFF"/>
                <w:sz w:val="18"/>
              </w:rPr>
              <w:t>課題</w:t>
            </w:r>
          </w:p>
        </w:tc>
        <w:tc>
          <w:tcPr>
            <w:tcW w:type="dxa" w:w="3324"/>
            <w:shd w:val="clear" w:color="auto" w:fill="1a3a5c"/>
          </w:tcPr>
          <w:p>
            <w:pPr>
              <w:jc w:val="center"/>
            </w:pPr>
            <w:r>
              <w:rPr>
                <w:b/>
                <w:color w:val="FFFFFF"/>
                <w:sz w:val="18"/>
              </w:rPr>
              <w:t>現状値</w:t>
            </w:r>
          </w:p>
        </w:tc>
        <w:tc>
          <w:tcPr>
            <w:tcW w:type="dxa" w:w="3324"/>
            <w:shd w:val="clear" w:color="auto" w:fill="1a3a5c"/>
          </w:tcPr>
          <w:p>
            <w:pPr>
              <w:jc w:val="center"/>
            </w:pPr>
            <w:r>
              <w:rPr>
                <w:b/>
                <w:color w:val="FFFFFF"/>
                <w:sz w:val="18"/>
              </w:rPr>
              <w:t>SURPLUS_SHIFT目標値</w:t>
            </w:r>
          </w:p>
        </w:tc>
      </w:tr>
      <w:tr>
        <w:tc>
          <w:tcPr>
            <w:tcW w:type="dxa" w:w="3324"/>
            <w:shd w:val="clear" w:color="auto" w:fill="F0F4F8"/>
          </w:tcPr>
          <w:p>
            <w:r>
              <w:rPr>
                <w:sz w:val="18"/>
              </w:rPr>
              <w:t>余剰在庫の平均滞留期間</w:t>
            </w:r>
          </w:p>
        </w:tc>
        <w:tc>
          <w:tcPr>
            <w:tcW w:type="dxa" w:w="3324"/>
            <w:shd w:val="clear" w:color="auto" w:fill="F0F4F8"/>
          </w:tcPr>
          <w:p>
            <w:r>
              <w:rPr>
                <w:sz w:val="18"/>
              </w:rPr>
              <w:t>90日以上</w:t>
            </w:r>
          </w:p>
        </w:tc>
        <w:tc>
          <w:tcPr>
            <w:tcW w:type="dxa" w:w="3324"/>
            <w:shd w:val="clear" w:color="auto" w:fill="F0F4F8"/>
          </w:tcPr>
          <w:p>
            <w:r>
              <w:rPr>
                <w:sz w:val="18"/>
              </w:rPr>
              <w:t>30日以内（自動マッチング）</w:t>
            </w:r>
          </w:p>
        </w:tc>
      </w:tr>
      <w:tr>
        <w:tc>
          <w:tcPr>
            <w:tcW w:type="dxa" w:w="3324"/>
            <w:shd w:val="clear" w:color="auto" w:fill="FFFFFF"/>
          </w:tcPr>
          <w:p>
            <w:r>
              <w:rPr>
                <w:sz w:val="18"/>
              </w:rPr>
              <w:t>手動マッチング工数</w:t>
            </w:r>
          </w:p>
        </w:tc>
        <w:tc>
          <w:tcPr>
            <w:tcW w:type="dxa" w:w="3324"/>
            <w:shd w:val="clear" w:color="auto" w:fill="FFFFFF"/>
          </w:tcPr>
          <w:p>
            <w:r>
              <w:rPr>
                <w:sz w:val="18"/>
              </w:rPr>
              <w:t>1件あたり8〜24時間</w:t>
            </w:r>
          </w:p>
        </w:tc>
        <w:tc>
          <w:tcPr>
            <w:tcW w:type="dxa" w:w="3324"/>
            <w:shd w:val="clear" w:color="auto" w:fill="FFFFFF"/>
          </w:tcPr>
          <w:p>
            <w:r>
              <w:rPr>
                <w:sz w:val="18"/>
              </w:rPr>
              <w:t>完全自動（0工数）</w:t>
            </w:r>
          </w:p>
        </w:tc>
      </w:tr>
      <w:tr>
        <w:tc>
          <w:tcPr>
            <w:tcW w:type="dxa" w:w="3324"/>
            <w:shd w:val="clear" w:color="auto" w:fill="F0F4F8"/>
          </w:tcPr>
          <w:p>
            <w:r>
              <w:rPr>
                <w:sz w:val="18"/>
              </w:rPr>
              <w:t>在庫廃棄率</w:t>
            </w:r>
          </w:p>
        </w:tc>
        <w:tc>
          <w:tcPr>
            <w:tcW w:type="dxa" w:w="3324"/>
            <w:shd w:val="clear" w:color="auto" w:fill="F0F4F8"/>
          </w:tcPr>
          <w:p>
            <w:r>
              <w:rPr>
                <w:sz w:val="18"/>
              </w:rPr>
              <w:t>15〜30%</w:t>
            </w:r>
          </w:p>
        </w:tc>
        <w:tc>
          <w:tcPr>
            <w:tcW w:type="dxa" w:w="3324"/>
            <w:shd w:val="clear" w:color="auto" w:fill="F0F4F8"/>
          </w:tcPr>
          <w:p>
            <w:r>
              <w:rPr>
                <w:sz w:val="18"/>
              </w:rPr>
              <w:t>5%以下</w:t>
            </w:r>
          </w:p>
        </w:tc>
      </w:tr>
      <w:tr>
        <w:tc>
          <w:tcPr>
            <w:tcW w:type="dxa" w:w="3324"/>
            <w:shd w:val="clear" w:color="auto" w:fill="FFFFFF"/>
          </w:tcPr>
          <w:p>
            <w:r>
              <w:rPr>
                <w:sz w:val="18"/>
              </w:rPr>
              <w:t>在庫転換率</w:t>
            </w:r>
          </w:p>
        </w:tc>
        <w:tc>
          <w:tcPr>
            <w:tcW w:type="dxa" w:w="3324"/>
            <w:shd w:val="clear" w:color="auto" w:fill="FFFFFF"/>
          </w:tcPr>
          <w:p>
            <w:r>
              <w:rPr>
                <w:sz w:val="18"/>
              </w:rPr>
              <w:t>40〜50%</w:t>
            </w:r>
          </w:p>
        </w:tc>
        <w:tc>
          <w:tcPr>
            <w:tcW w:type="dxa" w:w="3324"/>
            <w:shd w:val="clear" w:color="auto" w:fill="FFFFFF"/>
          </w:tcPr>
          <w:p>
            <w:r>
              <w:rPr>
                <w:sz w:val="18"/>
              </w:rPr>
              <w:t>70%以上（KPI目標）</w:t>
            </w:r>
          </w:p>
        </w:tc>
      </w:tr>
    </w:tbl>
    <w:p>
      <w:pPr>
        <w:spacing w:before="120" w:after="40"/>
      </w:pPr>
      <w:r>
        <w:rPr>
          <w:b/>
          <w:color w:val="1A3A5C"/>
          <w:sz w:val="24"/>
        </w:rPr>
        <w:t>3. 主要機能一覧</w:t>
      </w:r>
    </w:p>
    <w:tbl>
      <w:tblPr>
        <w:tblStyle w:val="TableGrid"/>
        <w:tblW w:type="auto" w:w="0"/>
        <w:tblLook w:firstColumn="1" w:firstRow="1" w:lastColumn="0" w:lastRow="0" w:noHBand="0" w:noVBand="1" w:val="04A0"/>
        <w:tblW w:w="9026" w:type="dxa"/>
      </w:tblPr>
      <w:tblGrid>
        <w:gridCol w:w="2493"/>
        <w:gridCol w:w="2493"/>
        <w:gridCol w:w="2493"/>
        <w:gridCol w:w="2493"/>
      </w:tblGrid>
      <w:tr>
        <w:tc>
          <w:tcPr>
            <w:tcW w:type="dxa" w:w="2493"/>
            <w:shd w:val="clear" w:color="auto" w:fill="1a3a5c"/>
          </w:tcPr>
          <w:p>
            <w:pPr>
              <w:jc w:val="center"/>
            </w:pPr>
            <w:r>
              <w:rPr>
                <w:b/>
                <w:color w:val="FFFFFF"/>
                <w:sz w:val="18"/>
              </w:rPr>
              <w:t>ID</w:t>
            </w:r>
          </w:p>
        </w:tc>
        <w:tc>
          <w:tcPr>
            <w:tcW w:type="dxa" w:w="2493"/>
            <w:shd w:val="clear" w:color="auto" w:fill="1a3a5c"/>
          </w:tcPr>
          <w:p>
            <w:pPr>
              <w:jc w:val="center"/>
            </w:pPr>
            <w:r>
              <w:rPr>
                <w:b/>
                <w:color w:val="FFFFFF"/>
                <w:sz w:val="18"/>
              </w:rPr>
              <w:t>機能名</w:t>
            </w:r>
          </w:p>
        </w:tc>
        <w:tc>
          <w:tcPr>
            <w:tcW w:type="dxa" w:w="2493"/>
            <w:shd w:val="clear" w:color="auto" w:fill="1a3a5c"/>
          </w:tcPr>
          <w:p>
            <w:pPr>
              <w:jc w:val="center"/>
            </w:pPr>
            <w:r>
              <w:rPr>
                <w:b/>
                <w:color w:val="FFFFFF"/>
                <w:sz w:val="18"/>
              </w:rPr>
              <w:t>概要</w:t>
            </w:r>
          </w:p>
        </w:tc>
        <w:tc>
          <w:tcPr>
            <w:tcW w:type="dxa" w:w="2493"/>
            <w:shd w:val="clear" w:color="auto" w:fill="1a3a5c"/>
          </w:tcPr>
          <w:p>
            <w:pPr>
              <w:jc w:val="center"/>
            </w:pPr>
            <w:r>
              <w:rPr>
                <w:b/>
                <w:color w:val="FFFFFF"/>
                <w:sz w:val="18"/>
              </w:rPr>
              <w:t>優先度</w:t>
            </w:r>
          </w:p>
        </w:tc>
      </w:tr>
      <w:tr>
        <w:tc>
          <w:tcPr>
            <w:tcW w:type="dxa" w:w="2493"/>
            <w:shd w:val="clear" w:color="auto" w:fill="F0F4F8"/>
          </w:tcPr>
          <w:p>
            <w:r>
              <w:rPr>
                <w:sz w:val="18"/>
              </w:rPr>
              <w:t>SURPLUS-001</w:t>
            </w:r>
          </w:p>
        </w:tc>
        <w:tc>
          <w:tcPr>
            <w:tcW w:type="dxa" w:w="2493"/>
            <w:shd w:val="clear" w:color="auto" w:fill="F0F4F8"/>
          </w:tcPr>
          <w:p>
            <w:r>
              <w:rPr>
                <w:sz w:val="18"/>
              </w:rPr>
              <w:t>売り手ダッシュボード</w:t>
            </w:r>
          </w:p>
        </w:tc>
        <w:tc>
          <w:tcPr>
            <w:tcW w:type="dxa" w:w="2493"/>
            <w:shd w:val="clear" w:color="auto" w:fill="F0F4F8"/>
          </w:tcPr>
          <w:p>
            <w:r>
              <w:rPr>
                <w:sz w:val="18"/>
              </w:rPr>
              <w:t>余剰在庫の一覧表示・登録・ステータス管理。在庫数量・仕入価格・希望転換価格を入力</w:t>
            </w:r>
          </w:p>
        </w:tc>
        <w:tc>
          <w:tcPr>
            <w:tcW w:type="dxa" w:w="2493"/>
            <w:shd w:val="clear" w:color="auto" w:fill="F0F4F8"/>
          </w:tcPr>
          <w:p>
            <w:r>
              <w:rPr>
                <w:sz w:val="18"/>
              </w:rPr>
              <w:t>Must</w:t>
            </w:r>
          </w:p>
        </w:tc>
      </w:tr>
      <w:tr>
        <w:tc>
          <w:tcPr>
            <w:tcW w:type="dxa" w:w="2493"/>
            <w:shd w:val="clear" w:color="auto" w:fill="FFFFFF"/>
          </w:tcPr>
          <w:p>
            <w:r>
              <w:rPr>
                <w:sz w:val="18"/>
              </w:rPr>
              <w:t>SURPLUS-002</w:t>
            </w:r>
          </w:p>
        </w:tc>
        <w:tc>
          <w:tcPr>
            <w:tcW w:type="dxa" w:w="2493"/>
            <w:shd w:val="clear" w:color="auto" w:fill="FFFFFF"/>
          </w:tcPr>
          <w:p>
            <w:r>
              <w:rPr>
                <w:sz w:val="18"/>
              </w:rPr>
              <w:t>買い手検索マッチング</w:t>
            </w:r>
          </w:p>
        </w:tc>
        <w:tc>
          <w:tcPr>
            <w:tcW w:type="dxa" w:w="2493"/>
            <w:shd w:val="clear" w:color="auto" w:fill="FFFFFF"/>
          </w:tcPr>
          <w:p>
            <w:r>
              <w:rPr>
                <w:sz w:val="18"/>
              </w:rPr>
              <w:t>登録済み買い手プロファイルとのAI自動マッチング。カテゴリ・地域・予算・数量条件でスコアリング</w:t>
            </w:r>
          </w:p>
        </w:tc>
        <w:tc>
          <w:tcPr>
            <w:tcW w:type="dxa" w:w="2493"/>
            <w:shd w:val="clear" w:color="auto" w:fill="FFFFFF"/>
          </w:tcPr>
          <w:p>
            <w:r>
              <w:rPr>
                <w:sz w:val="18"/>
              </w:rPr>
              <w:t>Must</w:t>
            </w:r>
          </w:p>
        </w:tc>
      </w:tr>
      <w:tr>
        <w:tc>
          <w:tcPr>
            <w:tcW w:type="dxa" w:w="2493"/>
            <w:shd w:val="clear" w:color="auto" w:fill="F0F4F8"/>
          </w:tcPr>
          <w:p>
            <w:r>
              <w:rPr>
                <w:sz w:val="18"/>
              </w:rPr>
              <w:t>SURPLUS-003</w:t>
            </w:r>
          </w:p>
        </w:tc>
        <w:tc>
          <w:tcPr>
            <w:tcW w:type="dxa" w:w="2493"/>
            <w:shd w:val="clear" w:color="auto" w:fill="F0F4F8"/>
          </w:tcPr>
          <w:p>
            <w:r>
              <w:rPr>
                <w:sz w:val="18"/>
              </w:rPr>
              <w:t>価格交渉支援</w:t>
            </w:r>
          </w:p>
        </w:tc>
        <w:tc>
          <w:tcPr>
            <w:tcW w:type="dxa" w:w="2493"/>
            <w:shd w:val="clear" w:color="auto" w:fill="F0F4F8"/>
          </w:tcPr>
          <w:p>
            <w:r>
              <w:rPr>
                <w:sz w:val="18"/>
              </w:rPr>
              <w:t>売り手・買い手間の価格交渉を自動化。市場価格参照・推奨価格提示・交渉履歴記録</w:t>
            </w:r>
          </w:p>
        </w:tc>
        <w:tc>
          <w:tcPr>
            <w:tcW w:type="dxa" w:w="2493"/>
            <w:shd w:val="clear" w:color="auto" w:fill="F0F4F8"/>
          </w:tcPr>
          <w:p>
            <w:r>
              <w:rPr>
                <w:sz w:val="18"/>
              </w:rPr>
              <w:t>Should</w:t>
            </w:r>
          </w:p>
        </w:tc>
      </w:tr>
      <w:tr>
        <w:tc>
          <w:tcPr>
            <w:tcW w:type="dxa" w:w="2493"/>
            <w:shd w:val="clear" w:color="auto" w:fill="FFFFFF"/>
          </w:tcPr>
          <w:p>
            <w:r>
              <w:rPr>
                <w:sz w:val="18"/>
              </w:rPr>
              <w:t>SURPLUS-004</w:t>
            </w:r>
          </w:p>
        </w:tc>
        <w:tc>
          <w:tcPr>
            <w:tcW w:type="dxa" w:w="2493"/>
            <w:shd w:val="clear" w:color="auto" w:fill="FFFFFF"/>
          </w:tcPr>
          <w:p>
            <w:r>
              <w:rPr>
                <w:sz w:val="18"/>
              </w:rPr>
              <w:t>転換実行・契約書生成</w:t>
            </w:r>
          </w:p>
        </w:tc>
        <w:tc>
          <w:tcPr>
            <w:tcW w:type="dxa" w:w="2493"/>
            <w:shd w:val="clear" w:color="auto" w:fill="FFFFFF"/>
          </w:tcPr>
          <w:p>
            <w:r>
              <w:rPr>
                <w:sz w:val="18"/>
              </w:rPr>
              <w:t>マッチング成立後の取引確定・契約書自動生成（PDF/Word）・決済フロー連携</w:t>
            </w:r>
          </w:p>
        </w:tc>
        <w:tc>
          <w:tcPr>
            <w:tcW w:type="dxa" w:w="2493"/>
            <w:shd w:val="clear" w:color="auto" w:fill="FFFFFF"/>
          </w:tcPr>
          <w:p>
            <w:r>
              <w:rPr>
                <w:sz w:val="18"/>
              </w:rPr>
              <w:t>Must</w:t>
            </w:r>
          </w:p>
        </w:tc>
      </w:tr>
      <w:tr>
        <w:tc>
          <w:tcPr>
            <w:tcW w:type="dxa" w:w="2493"/>
            <w:shd w:val="clear" w:color="auto" w:fill="F0F4F8"/>
          </w:tcPr>
          <w:p>
            <w:r>
              <w:rPr>
                <w:sz w:val="18"/>
              </w:rPr>
              <w:t>SURPLUS-005</w:t>
            </w:r>
          </w:p>
        </w:tc>
        <w:tc>
          <w:tcPr>
            <w:tcW w:type="dxa" w:w="2493"/>
            <w:shd w:val="clear" w:color="auto" w:fill="F0F4F8"/>
          </w:tcPr>
          <w:p>
            <w:r>
              <w:rPr>
                <w:sz w:val="18"/>
              </w:rPr>
              <w:t>履歴・分析レポート</w:t>
            </w:r>
          </w:p>
        </w:tc>
        <w:tc>
          <w:tcPr>
            <w:tcW w:type="dxa" w:w="2493"/>
            <w:shd w:val="clear" w:color="auto" w:fill="F0F4F8"/>
          </w:tcPr>
          <w:p>
            <w:r>
              <w:rPr>
                <w:sz w:val="18"/>
              </w:rPr>
              <w:t>転換実績・収益改善額・在庫削減率のレポート生成。BigQueryによる月次分析</w:t>
            </w:r>
          </w:p>
        </w:tc>
        <w:tc>
          <w:tcPr>
            <w:tcW w:type="dxa" w:w="2493"/>
            <w:shd w:val="clear" w:color="auto" w:fill="F0F4F8"/>
          </w:tcPr>
          <w:p>
            <w:r>
              <w:rPr>
                <w:sz w:val="18"/>
              </w:rPr>
              <w:t>Should</w:t>
            </w:r>
          </w:p>
        </w:tc>
      </w:tr>
    </w:tbl>
    <w:p>
      <w:pPr>
        <w:spacing w:before="120" w:after="40"/>
      </w:pPr>
      <w:r>
        <w:rPr>
          <w:b/>
          <w:color w:val="1A3A5C"/>
          <w:sz w:val="24"/>
        </w:rPr>
        <w:t>4. ステークホルダー定義</w:t>
      </w:r>
    </w:p>
    <w:tbl>
      <w:tblPr>
        <w:tblStyle w:val="TableGrid"/>
        <w:tblW w:type="auto" w:w="0"/>
        <w:tblLook w:firstColumn="1" w:firstRow="1" w:lastColumn="0" w:lastRow="0" w:noHBand="0" w:noVBand="1" w:val="04A0"/>
        <w:tblW w:w="9026" w:type="dxa"/>
      </w:tblPr>
      <w:tblGrid>
        <w:gridCol w:w="2493"/>
        <w:gridCol w:w="2493"/>
        <w:gridCol w:w="2493"/>
        <w:gridCol w:w="2493"/>
      </w:tblGrid>
      <w:tr>
        <w:tc>
          <w:tcPr>
            <w:tcW w:type="dxa" w:w="2493"/>
            <w:shd w:val="clear" w:color="auto" w:fill="1a3a5c"/>
          </w:tcPr>
          <w:p>
            <w:pPr>
              <w:jc w:val="center"/>
            </w:pPr>
            <w:r>
              <w:rPr>
                <w:b/>
                <w:color w:val="FFFFFF"/>
                <w:sz w:val="18"/>
              </w:rPr>
              <w:t>ステークホルダー</w:t>
            </w:r>
          </w:p>
        </w:tc>
        <w:tc>
          <w:tcPr>
            <w:tcW w:type="dxa" w:w="2493"/>
            <w:shd w:val="clear" w:color="auto" w:fill="1a3a5c"/>
          </w:tcPr>
          <w:p>
            <w:pPr>
              <w:jc w:val="center"/>
            </w:pPr>
            <w:r>
              <w:rPr>
                <w:b/>
                <w:color w:val="FFFFFF"/>
                <w:sz w:val="18"/>
              </w:rPr>
              <w:t>役割</w:t>
            </w:r>
          </w:p>
        </w:tc>
        <w:tc>
          <w:tcPr>
            <w:tcW w:type="dxa" w:w="2493"/>
            <w:shd w:val="clear" w:color="auto" w:fill="1a3a5c"/>
          </w:tcPr>
          <w:p>
            <w:pPr>
              <w:jc w:val="center"/>
            </w:pPr>
            <w:r>
              <w:rPr>
                <w:b/>
                <w:color w:val="FFFFFF"/>
                <w:sz w:val="18"/>
              </w:rPr>
              <w:t>主要タッチポイント</w:t>
            </w:r>
          </w:p>
        </w:tc>
        <w:tc>
          <w:tcPr>
            <w:tcW w:type="dxa" w:w="2493"/>
            <w:shd w:val="clear" w:color="auto" w:fill="1a3a5c"/>
          </w:tcPr>
          <w:p>
            <w:pPr>
              <w:jc w:val="center"/>
            </w:pPr>
            <w:r>
              <w:rPr>
                <w:b/>
                <w:color w:val="FFFFFF"/>
                <w:sz w:val="18"/>
              </w:rPr>
              <w:t>優先度</w:t>
            </w:r>
          </w:p>
        </w:tc>
      </w:tr>
      <w:tr>
        <w:tc>
          <w:tcPr>
            <w:tcW w:type="dxa" w:w="2493"/>
            <w:shd w:val="clear" w:color="auto" w:fill="F0F4F8"/>
          </w:tcPr>
          <w:p>
            <w:r>
              <w:rPr>
                <w:sz w:val="18"/>
              </w:rPr>
              <w:t>売り手企業</w:t>
            </w:r>
          </w:p>
        </w:tc>
        <w:tc>
          <w:tcPr>
            <w:tcW w:type="dxa" w:w="2493"/>
            <w:shd w:val="clear" w:color="auto" w:fill="F0F4F8"/>
          </w:tcPr>
          <w:p>
            <w:r>
              <w:rPr>
                <w:sz w:val="18"/>
              </w:rPr>
              <w:t>余剰在庫の登録・転換依頼者</w:t>
            </w:r>
          </w:p>
        </w:tc>
        <w:tc>
          <w:tcPr>
            <w:tcW w:type="dxa" w:w="2493"/>
            <w:shd w:val="clear" w:color="auto" w:fill="F0F4F8"/>
          </w:tcPr>
          <w:p>
            <w:r>
              <w:rPr>
                <w:sz w:val="18"/>
              </w:rPr>
              <w:t>SURPLUS-001 売り手ダッシュボード（Web）</w:t>
            </w:r>
          </w:p>
        </w:tc>
        <w:tc>
          <w:tcPr>
            <w:tcW w:type="dxa" w:w="2493"/>
            <w:shd w:val="clear" w:color="auto" w:fill="F0F4F8"/>
          </w:tcPr>
          <w:p>
            <w:r>
              <w:rPr>
                <w:sz w:val="18"/>
              </w:rPr>
              <w:t>Must</w:t>
            </w:r>
          </w:p>
        </w:tc>
      </w:tr>
      <w:tr>
        <w:tc>
          <w:tcPr>
            <w:tcW w:type="dxa" w:w="2493"/>
            <w:shd w:val="clear" w:color="auto" w:fill="FFFFFF"/>
          </w:tcPr>
          <w:p>
            <w:r>
              <w:rPr>
                <w:sz w:val="18"/>
              </w:rPr>
              <w:t>買い手企業</w:t>
            </w:r>
          </w:p>
        </w:tc>
        <w:tc>
          <w:tcPr>
            <w:tcW w:type="dxa" w:w="2493"/>
            <w:shd w:val="clear" w:color="auto" w:fill="FFFFFF"/>
          </w:tcPr>
          <w:p>
            <w:r>
              <w:rPr>
                <w:sz w:val="18"/>
              </w:rPr>
              <w:t>余剰在庫の購入希望者</w:t>
            </w:r>
          </w:p>
        </w:tc>
        <w:tc>
          <w:tcPr>
            <w:tcW w:type="dxa" w:w="2493"/>
            <w:shd w:val="clear" w:color="auto" w:fill="FFFFFF"/>
          </w:tcPr>
          <w:p>
            <w:r>
              <w:rPr>
                <w:sz w:val="18"/>
              </w:rPr>
              <w:t>SURPLUS-002 買い手検索・マッチング画面</w:t>
            </w:r>
          </w:p>
        </w:tc>
        <w:tc>
          <w:tcPr>
            <w:tcW w:type="dxa" w:w="2493"/>
            <w:shd w:val="clear" w:color="auto" w:fill="FFFFFF"/>
          </w:tcPr>
          <w:p>
            <w:r>
              <w:rPr>
                <w:sz w:val="18"/>
              </w:rPr>
              <w:t>Must</w:t>
            </w:r>
          </w:p>
        </w:tc>
      </w:tr>
      <w:tr>
        <w:tc>
          <w:tcPr>
            <w:tcW w:type="dxa" w:w="2493"/>
            <w:shd w:val="clear" w:color="auto" w:fill="F0F4F8"/>
          </w:tcPr>
          <w:p>
            <w:r>
              <w:rPr>
                <w:sz w:val="18"/>
              </w:rPr>
              <w:t>NiceEzeオペレーター</w:t>
            </w:r>
          </w:p>
        </w:tc>
        <w:tc>
          <w:tcPr>
            <w:tcW w:type="dxa" w:w="2493"/>
            <w:shd w:val="clear" w:color="auto" w:fill="F0F4F8"/>
          </w:tcPr>
          <w:p>
            <w:r>
              <w:rPr>
                <w:sz w:val="18"/>
              </w:rPr>
              <w:t>システム監視・例外処理・KPI確認</w:t>
            </w:r>
          </w:p>
        </w:tc>
        <w:tc>
          <w:tcPr>
            <w:tcW w:type="dxa" w:w="2493"/>
            <w:shd w:val="clear" w:color="auto" w:fill="F0F4F8"/>
          </w:tcPr>
          <w:p>
            <w:r>
              <w:rPr>
                <w:sz w:val="18"/>
              </w:rPr>
              <w:t>COO報告パネル / Cloud Console</w:t>
            </w:r>
          </w:p>
        </w:tc>
        <w:tc>
          <w:tcPr>
            <w:tcW w:type="dxa" w:w="2493"/>
            <w:shd w:val="clear" w:color="auto" w:fill="F0F4F8"/>
          </w:tcPr>
          <w:p>
            <w:r>
              <w:rPr>
                <w:sz w:val="18"/>
              </w:rPr>
              <w:t>Must</w:t>
            </w:r>
          </w:p>
        </w:tc>
      </w:tr>
      <w:tr>
        <w:tc>
          <w:tcPr>
            <w:tcW w:type="dxa" w:w="2493"/>
            <w:shd w:val="clear" w:color="auto" w:fill="FFFFFF"/>
          </w:tcPr>
          <w:p>
            <w:r>
              <w:rPr>
                <w:sz w:val="18"/>
              </w:rPr>
              <w:t>GCP管理者</w:t>
            </w:r>
          </w:p>
        </w:tc>
        <w:tc>
          <w:tcPr>
            <w:tcW w:type="dxa" w:w="2493"/>
            <w:shd w:val="clear" w:color="auto" w:fill="FFFFFF"/>
          </w:tcPr>
          <w:p>
            <w:r>
              <w:rPr>
                <w:sz w:val="18"/>
              </w:rPr>
              <w:t>インフラ運用・コスト管理</w:t>
            </w:r>
          </w:p>
        </w:tc>
        <w:tc>
          <w:tcPr>
            <w:tcW w:type="dxa" w:w="2493"/>
            <w:shd w:val="clear" w:color="auto" w:fill="FFFFFF"/>
          </w:tcPr>
          <w:p>
            <w:r>
              <w:rPr>
                <w:sz w:val="18"/>
              </w:rPr>
              <w:t>Cloud Console / Secret Manager</w:t>
            </w:r>
          </w:p>
        </w:tc>
        <w:tc>
          <w:tcPr>
            <w:tcW w:type="dxa" w:w="2493"/>
            <w:shd w:val="clear" w:color="auto" w:fill="FFFFFF"/>
          </w:tcPr>
          <w:p>
            <w:r>
              <w:rPr>
                <w:sz w:val="18"/>
              </w:rPr>
              <w:t>Should</w:t>
            </w:r>
          </w:p>
        </w:tc>
      </w:tr>
    </w:tbl>
    <w:p>
      <w:pPr>
        <w:spacing w:before="120" w:after="40"/>
      </w:pPr>
      <w:r>
        <w:rPr>
          <w:b/>
          <w:color w:val="1A3A5C"/>
          <w:sz w:val="24"/>
        </w:rPr>
        <w:t>5. 成功指標（KPI）</w:t>
      </w:r>
    </w:p>
    <w:tbl>
      <w:tblPr>
        <w:tblStyle w:val="TableGrid"/>
        <w:tblW w:type="auto" w:w="0"/>
        <w:tblLook w:firstColumn="1" w:firstRow="1" w:lastColumn="0" w:lastRow="0" w:noHBand="0" w:noVBand="1" w:val="04A0"/>
        <w:tblW w:w="9026" w:type="dxa"/>
      </w:tblPr>
      <w:tblGrid>
        <w:gridCol w:w="2493"/>
        <w:gridCol w:w="2493"/>
        <w:gridCol w:w="2493"/>
        <w:gridCol w:w="2493"/>
      </w:tblGrid>
      <w:tr>
        <w:tc>
          <w:tcPr>
            <w:tcW w:type="dxa" w:w="2493"/>
            <w:shd w:val="clear" w:color="auto" w:fill="1a3a5c"/>
          </w:tcPr>
          <w:p>
            <w:pPr>
              <w:jc w:val="center"/>
            </w:pPr>
            <w:r>
              <w:rPr>
                <w:b/>
                <w:color w:val="FFFFFF"/>
                <w:sz w:val="18"/>
              </w:rPr>
              <w:t>KPI</w:t>
            </w:r>
          </w:p>
        </w:tc>
        <w:tc>
          <w:tcPr>
            <w:tcW w:type="dxa" w:w="2493"/>
            <w:shd w:val="clear" w:color="auto" w:fill="1a3a5c"/>
          </w:tcPr>
          <w:p>
            <w:pPr>
              <w:jc w:val="center"/>
            </w:pPr>
            <w:r>
              <w:rPr>
                <w:b/>
                <w:color w:val="FFFFFF"/>
                <w:sz w:val="18"/>
              </w:rPr>
              <w:t>目標値</w:t>
            </w:r>
          </w:p>
        </w:tc>
        <w:tc>
          <w:tcPr>
            <w:tcW w:type="dxa" w:w="2493"/>
            <w:shd w:val="clear" w:color="auto" w:fill="1a3a5c"/>
          </w:tcPr>
          <w:p>
            <w:pPr>
              <w:jc w:val="center"/>
            </w:pPr>
            <w:r>
              <w:rPr>
                <w:b/>
                <w:color w:val="FFFFFF"/>
                <w:sz w:val="18"/>
              </w:rPr>
              <w:t>計測方法</w:t>
            </w:r>
          </w:p>
        </w:tc>
        <w:tc>
          <w:tcPr>
            <w:tcW w:type="dxa" w:w="2493"/>
            <w:shd w:val="clear" w:color="auto" w:fill="1a3a5c"/>
          </w:tcPr>
          <w:p>
            <w:pPr>
              <w:jc w:val="center"/>
            </w:pPr>
            <w:r>
              <w:rPr>
                <w:b/>
                <w:color w:val="FFFFFF"/>
                <w:sz w:val="18"/>
              </w:rPr>
              <w:t>Gate</w:t>
            </w:r>
          </w:p>
        </w:tc>
      </w:tr>
      <w:tr>
        <w:tc>
          <w:tcPr>
            <w:tcW w:type="dxa" w:w="2493"/>
            <w:shd w:val="clear" w:color="auto" w:fill="F0F4F8"/>
          </w:tcPr>
          <w:p>
            <w:r>
              <w:rPr>
                <w:sz w:val="18"/>
              </w:rPr>
              <w:t>余剰在庫転換率</w:t>
            </w:r>
          </w:p>
        </w:tc>
        <w:tc>
          <w:tcPr>
            <w:tcW w:type="dxa" w:w="2493"/>
            <w:shd w:val="clear" w:color="auto" w:fill="F0F4F8"/>
          </w:tcPr>
          <w:p>
            <w:r>
              <w:rPr>
                <w:sz w:val="18"/>
              </w:rPr>
              <w:t>≥70%</w:t>
            </w:r>
          </w:p>
        </w:tc>
        <w:tc>
          <w:tcPr>
            <w:tcW w:type="dxa" w:w="2493"/>
            <w:shd w:val="clear" w:color="auto" w:fill="F0F4F8"/>
          </w:tcPr>
          <w:p>
            <w:r>
              <w:rPr>
                <w:sz w:val="18"/>
              </w:rPr>
              <w:t>転換完了件数 / 登録総件数</w:t>
            </w:r>
          </w:p>
        </w:tc>
        <w:tc>
          <w:tcPr>
            <w:tcW w:type="dxa" w:w="2493"/>
            <w:shd w:val="clear" w:color="auto" w:fill="F0F4F8"/>
          </w:tcPr>
          <w:p>
            <w:r>
              <w:rPr>
                <w:sz w:val="18"/>
              </w:rPr>
              <w:t>G2</w:t>
            </w:r>
          </w:p>
        </w:tc>
      </w:tr>
      <w:tr>
        <w:tc>
          <w:tcPr>
            <w:tcW w:type="dxa" w:w="2493"/>
            <w:shd w:val="clear" w:color="auto" w:fill="FFFFFF"/>
          </w:tcPr>
          <w:p>
            <w:r>
              <w:rPr>
                <w:sz w:val="18"/>
              </w:rPr>
              <w:t>平均マッチング時間</w:t>
            </w:r>
          </w:p>
        </w:tc>
        <w:tc>
          <w:tcPr>
            <w:tcW w:type="dxa" w:w="2493"/>
            <w:shd w:val="clear" w:color="auto" w:fill="FFFFFF"/>
          </w:tcPr>
          <w:p>
            <w:r>
              <w:rPr>
                <w:sz w:val="18"/>
              </w:rPr>
              <w:t>≤48時間</w:t>
            </w:r>
          </w:p>
        </w:tc>
        <w:tc>
          <w:tcPr>
            <w:tcW w:type="dxa" w:w="2493"/>
            <w:shd w:val="clear" w:color="auto" w:fill="FFFFFF"/>
          </w:tcPr>
          <w:p>
            <w:r>
              <w:rPr>
                <w:sz w:val="18"/>
              </w:rPr>
              <w:t>マッチング成立TSから計算</w:t>
            </w:r>
          </w:p>
        </w:tc>
        <w:tc>
          <w:tcPr>
            <w:tcW w:type="dxa" w:w="2493"/>
            <w:shd w:val="clear" w:color="auto" w:fill="FFFFFF"/>
          </w:tcPr>
          <w:p>
            <w:r>
              <w:rPr>
                <w:sz w:val="18"/>
              </w:rPr>
              <w:t>G1</w:t>
            </w:r>
          </w:p>
        </w:tc>
      </w:tr>
      <w:tr>
        <w:tc>
          <w:tcPr>
            <w:tcW w:type="dxa" w:w="2493"/>
            <w:shd w:val="clear" w:color="auto" w:fill="F0F4F8"/>
          </w:tcPr>
          <w:p>
            <w:r>
              <w:rPr>
                <w:sz w:val="18"/>
              </w:rPr>
              <w:t>ユーザー満足度</w:t>
            </w:r>
          </w:p>
        </w:tc>
        <w:tc>
          <w:tcPr>
            <w:tcW w:type="dxa" w:w="2493"/>
            <w:shd w:val="clear" w:color="auto" w:fill="F0F4F8"/>
          </w:tcPr>
          <w:p>
            <w:r>
              <w:rPr>
                <w:sz w:val="18"/>
              </w:rPr>
              <w:t>≥4.0/5.0</w:t>
            </w:r>
          </w:p>
        </w:tc>
        <w:tc>
          <w:tcPr>
            <w:tcW w:type="dxa" w:w="2493"/>
            <w:shd w:val="clear" w:color="auto" w:fill="F0F4F8"/>
          </w:tcPr>
          <w:p>
            <w:r>
              <w:rPr>
                <w:sz w:val="18"/>
              </w:rPr>
              <w:t>アプリ内評価フォーム</w:t>
            </w:r>
          </w:p>
        </w:tc>
        <w:tc>
          <w:tcPr>
            <w:tcW w:type="dxa" w:w="2493"/>
            <w:shd w:val="clear" w:color="auto" w:fill="F0F4F8"/>
          </w:tcPr>
          <w:p>
            <w:r>
              <w:rPr>
                <w:sz w:val="18"/>
              </w:rPr>
              <w:t>G2</w:t>
            </w:r>
          </w:p>
        </w:tc>
      </w:tr>
      <w:tr>
        <w:tc>
          <w:tcPr>
            <w:tcW w:type="dxa" w:w="2493"/>
            <w:shd w:val="clear" w:color="auto" w:fill="FFFFFF"/>
          </w:tcPr>
          <w:p>
            <w:r>
              <w:rPr>
                <w:sz w:val="18"/>
              </w:rPr>
              <w:t>APIキーフロント露出件数</w:t>
            </w:r>
          </w:p>
        </w:tc>
        <w:tc>
          <w:tcPr>
            <w:tcW w:type="dxa" w:w="2493"/>
            <w:shd w:val="clear" w:color="auto" w:fill="FFFFFF"/>
          </w:tcPr>
          <w:p>
            <w:r>
              <w:rPr>
                <w:sz w:val="18"/>
              </w:rPr>
              <w:t>0件</w:t>
            </w:r>
          </w:p>
        </w:tc>
        <w:tc>
          <w:tcPr>
            <w:tcW w:type="dxa" w:w="2493"/>
            <w:shd w:val="clear" w:color="auto" w:fill="FFFFFF"/>
          </w:tcPr>
          <w:p>
            <w:r>
              <w:rPr>
                <w:sz w:val="18"/>
              </w:rPr>
              <w:t>bandit自動スキャン</w:t>
            </w:r>
          </w:p>
        </w:tc>
        <w:tc>
          <w:tcPr>
            <w:tcW w:type="dxa" w:w="2493"/>
            <w:shd w:val="clear" w:color="auto" w:fill="FFFFFF"/>
          </w:tcPr>
          <w:p>
            <w:r>
              <w:rPr>
                <w:sz w:val="18"/>
              </w:rPr>
              <w:t>全Gate</w:t>
            </w:r>
          </w:p>
        </w:tc>
      </w:tr>
      <w:tr>
        <w:tc>
          <w:tcPr>
            <w:tcW w:type="dxa" w:w="2493"/>
            <w:shd w:val="clear" w:color="auto" w:fill="F0F4F8"/>
          </w:tcPr>
          <w:p>
            <w:r>
              <w:rPr>
                <w:sz w:val="18"/>
              </w:rPr>
              <w:t>月額インフラコスト（MVP）</w:t>
            </w:r>
          </w:p>
        </w:tc>
        <w:tc>
          <w:tcPr>
            <w:tcW w:type="dxa" w:w="2493"/>
            <w:shd w:val="clear" w:color="auto" w:fill="F0F4F8"/>
          </w:tcPr>
          <w:p>
            <w:r>
              <w:rPr>
                <w:sz w:val="18"/>
              </w:rPr>
              <w:t>¥5,000以下</w:t>
            </w:r>
          </w:p>
        </w:tc>
        <w:tc>
          <w:tcPr>
            <w:tcW w:type="dxa" w:w="2493"/>
            <w:shd w:val="clear" w:color="auto" w:fill="F0F4F8"/>
          </w:tcPr>
          <w:p>
            <w:r>
              <w:rPr>
                <w:sz w:val="18"/>
              </w:rPr>
              <w:t>GCP請求 / 月次</w:t>
            </w:r>
          </w:p>
        </w:tc>
        <w:tc>
          <w:tcPr>
            <w:tcW w:type="dxa" w:w="2493"/>
            <w:shd w:val="clear" w:color="auto" w:fill="F0F4F8"/>
          </w:tcPr>
          <w:p>
            <w:r>
              <w:rPr>
                <w:sz w:val="18"/>
              </w:rPr>
              <w:t>G1</w:t>
            </w:r>
          </w:p>
        </w:tc>
      </w:tr>
      <w:tr>
        <w:tc>
          <w:tcPr>
            <w:tcW w:type="dxa" w:w="2493"/>
            <w:shd w:val="clear" w:color="auto" w:fill="FFFFFF"/>
          </w:tcPr>
          <w:p>
            <w:r>
              <w:rPr>
                <w:sz w:val="18"/>
              </w:rPr>
              <w:t>在庫廃棄率</w:t>
            </w:r>
          </w:p>
        </w:tc>
        <w:tc>
          <w:tcPr>
            <w:tcW w:type="dxa" w:w="2493"/>
            <w:shd w:val="clear" w:color="auto" w:fill="FFFFFF"/>
          </w:tcPr>
          <w:p>
            <w:r>
              <w:rPr>
                <w:sz w:val="18"/>
              </w:rPr>
              <w:t>≤5%</w:t>
            </w:r>
          </w:p>
        </w:tc>
        <w:tc>
          <w:tcPr>
            <w:tcW w:type="dxa" w:w="2493"/>
            <w:shd w:val="clear" w:color="auto" w:fill="FFFFFF"/>
          </w:tcPr>
          <w:p>
            <w:r>
              <w:rPr>
                <w:sz w:val="18"/>
              </w:rPr>
              <w:t>廃棄処理件数 / 登録総件数</w:t>
            </w:r>
          </w:p>
        </w:tc>
        <w:tc>
          <w:tcPr>
            <w:tcW w:type="dxa" w:w="2493"/>
            <w:shd w:val="clear" w:color="auto" w:fill="FFFFFF"/>
          </w:tcPr>
          <w:p>
            <w:r>
              <w:rPr>
                <w:sz w:val="18"/>
              </w:rPr>
              <w:t>G3</w:t>
            </w:r>
          </w:p>
        </w:tc>
      </w:tr>
      <w:tr>
        <w:tc>
          <w:tcPr>
            <w:tcW w:type="dxa" w:w="2493"/>
            <w:shd w:val="clear" w:color="auto" w:fill="F0F4F8"/>
          </w:tcPr>
          <w:p>
            <w:r>
              <w:rPr>
                <w:sz w:val="18"/>
              </w:rPr>
              <w:t>契約書生成エラー率</w:t>
            </w:r>
          </w:p>
        </w:tc>
        <w:tc>
          <w:tcPr>
            <w:tcW w:type="dxa" w:w="2493"/>
            <w:shd w:val="clear" w:color="auto" w:fill="F0F4F8"/>
          </w:tcPr>
          <w:p>
            <w:r>
              <w:rPr>
                <w:sz w:val="18"/>
              </w:rPr>
              <w:t>0%</w:t>
            </w:r>
          </w:p>
        </w:tc>
        <w:tc>
          <w:tcPr>
            <w:tcW w:type="dxa" w:w="2493"/>
            <w:shd w:val="clear" w:color="auto" w:fill="F0F4F8"/>
          </w:tcPr>
          <w:p>
            <w:r>
              <w:rPr>
                <w:sz w:val="18"/>
              </w:rPr>
              <w:t>統合テスト / 本番監査ログ</w:t>
            </w:r>
          </w:p>
        </w:tc>
        <w:tc>
          <w:tcPr>
            <w:tcW w:type="dxa" w:w="2493"/>
            <w:shd w:val="clear" w:color="auto" w:fill="F0F4F8"/>
          </w:tcPr>
          <w:p>
            <w:r>
              <w:rPr>
                <w:sz w:val="18"/>
              </w:rPr>
              <w:t>G2</w:t>
            </w:r>
          </w:p>
        </w:tc>
      </w:tr>
    </w:tbl>
    <w:p>
      <w:pPr>
        <w:spacing w:before="120" w:after="40"/>
      </w:pPr>
      <w:r>
        <w:rPr>
          <w:b/>
          <w:color w:val="1A3A5C"/>
          <w:sz w:val="24"/>
        </w:rPr>
        <w:t>6. Gate制（G0〜G4）/ FinOps 月額上限管理</w:t>
      </w:r>
    </w:p>
    <w:tbl>
      <w:tblPr>
        <w:tblStyle w:val="TableGrid"/>
        <w:tblW w:type="auto" w:w="0"/>
        <w:tblLook w:firstColumn="1" w:firstRow="1" w:lastColumn="0" w:lastRow="0" w:noHBand="0" w:noVBand="1" w:val="04A0"/>
        <w:tblW w:w="9026" w:type="dxa"/>
      </w:tblPr>
      <w:tblGrid>
        <w:gridCol w:w="2493"/>
        <w:gridCol w:w="2493"/>
        <w:gridCol w:w="2493"/>
        <w:gridCol w:w="2493"/>
      </w:tblGrid>
      <w:tr>
        <w:tc>
          <w:tcPr>
            <w:tcW w:type="dxa" w:w="2493"/>
            <w:shd w:val="clear" w:color="auto" w:fill="1a3a5c"/>
          </w:tcPr>
          <w:p>
            <w:pPr>
              <w:jc w:val="center"/>
            </w:pPr>
            <w:r>
              <w:rPr>
                <w:b/>
                <w:color w:val="FFFFFF"/>
                <w:sz w:val="18"/>
              </w:rPr>
              <w:t>Gate</w:t>
            </w:r>
          </w:p>
        </w:tc>
        <w:tc>
          <w:tcPr>
            <w:tcW w:type="dxa" w:w="2493"/>
            <w:shd w:val="clear" w:color="auto" w:fill="1a3a5c"/>
          </w:tcPr>
          <w:p>
            <w:pPr>
              <w:jc w:val="center"/>
            </w:pPr>
            <w:r>
              <w:rPr>
                <w:b/>
                <w:color w:val="FFFFFF"/>
                <w:sz w:val="18"/>
              </w:rPr>
              <w:t>完了条件</w:t>
            </w:r>
          </w:p>
        </w:tc>
        <w:tc>
          <w:tcPr>
            <w:tcW w:type="dxa" w:w="2493"/>
            <w:shd w:val="clear" w:color="auto" w:fill="1a3a5c"/>
          </w:tcPr>
          <w:p>
            <w:pPr>
              <w:jc w:val="center"/>
            </w:pPr>
            <w:r>
              <w:rPr>
                <w:b/>
                <w:color w:val="FFFFFF"/>
                <w:sz w:val="18"/>
              </w:rPr>
              <w:t>FinOps上限</w:t>
            </w:r>
          </w:p>
        </w:tc>
        <w:tc>
          <w:tcPr>
            <w:tcW w:type="dxa" w:w="2493"/>
            <w:shd w:val="clear" w:color="auto" w:fill="1a3a5c"/>
          </w:tcPr>
          <w:p>
            <w:pPr>
              <w:jc w:val="center"/>
            </w:pPr>
            <w:r>
              <w:rPr>
                <w:b/>
                <w:color w:val="FFFFFF"/>
                <w:sz w:val="18"/>
              </w:rPr>
              <w:t>備考</w:t>
            </w:r>
          </w:p>
        </w:tc>
      </w:tr>
      <w:tr>
        <w:tc>
          <w:tcPr>
            <w:tcW w:type="dxa" w:w="2493"/>
            <w:shd w:val="clear" w:color="auto" w:fill="F0F4F8"/>
          </w:tcPr>
          <w:p>
            <w:r>
              <w:rPr>
                <w:sz w:val="18"/>
              </w:rPr>
              <w:t>G0</w:t>
            </w:r>
          </w:p>
        </w:tc>
        <w:tc>
          <w:tcPr>
            <w:tcW w:type="dxa" w:w="2493"/>
            <w:shd w:val="clear" w:color="auto" w:fill="F0F4F8"/>
          </w:tcPr>
          <w:p>
            <w:r>
              <w:rPr>
                <w:sz w:val="18"/>
              </w:rPr>
              <w:t>GCP環境構築・Secret Manager設定完了</w:t>
            </w:r>
          </w:p>
        </w:tc>
        <w:tc>
          <w:tcPr>
            <w:tcW w:type="dxa" w:w="2493"/>
            <w:shd w:val="clear" w:color="auto" w:fill="F0F4F8"/>
          </w:tcPr>
          <w:p>
            <w:r>
              <w:rPr>
                <w:sz w:val="18"/>
              </w:rPr>
              <w:t>¥0（無料枠）</w:t>
            </w:r>
          </w:p>
        </w:tc>
        <w:tc>
          <w:tcPr>
            <w:tcW w:type="dxa" w:w="2493"/>
            <w:shd w:val="clear" w:color="auto" w:fill="F0F4F8"/>
          </w:tcPr>
          <w:p>
            <w:r>
              <w:rPr>
                <w:sz w:val="18"/>
              </w:rPr>
              <w:t>インフラ基盤のみ</w:t>
            </w:r>
          </w:p>
        </w:tc>
      </w:tr>
      <w:tr>
        <w:tc>
          <w:tcPr>
            <w:tcW w:type="dxa" w:w="2493"/>
            <w:shd w:val="clear" w:color="auto" w:fill="FFFFFF"/>
          </w:tcPr>
          <w:p>
            <w:r>
              <w:rPr>
                <w:sz w:val="18"/>
              </w:rPr>
              <w:t>G1</w:t>
            </w:r>
          </w:p>
        </w:tc>
        <w:tc>
          <w:tcPr>
            <w:tcW w:type="dxa" w:w="2493"/>
            <w:shd w:val="clear" w:color="auto" w:fill="FFFFFF"/>
          </w:tcPr>
          <w:p>
            <w:r>
              <w:rPr>
                <w:sz w:val="18"/>
              </w:rPr>
              <w:t>SURPLUS-001/002 基本動作確認・bandit 0件</w:t>
            </w:r>
          </w:p>
        </w:tc>
        <w:tc>
          <w:tcPr>
            <w:tcW w:type="dxa" w:w="2493"/>
            <w:shd w:val="clear" w:color="auto" w:fill="FFFFFF"/>
          </w:tcPr>
          <w:p>
            <w:r>
              <w:rPr>
                <w:sz w:val="18"/>
              </w:rPr>
              <w:t>¥5,000/月（MVP上限）</w:t>
            </w:r>
          </w:p>
        </w:tc>
        <w:tc>
          <w:tcPr>
            <w:tcW w:type="dxa" w:w="2493"/>
            <w:shd w:val="clear" w:color="auto" w:fill="FFFFFF"/>
          </w:tcPr>
          <w:p>
            <w:r>
              <w:rPr>
                <w:sz w:val="18"/>
              </w:rPr>
              <w:t>Cloud Run + Firestore無料枠活用</w:t>
            </w:r>
          </w:p>
        </w:tc>
      </w:tr>
      <w:tr>
        <w:tc>
          <w:tcPr>
            <w:tcW w:type="dxa" w:w="2493"/>
            <w:shd w:val="clear" w:color="auto" w:fill="F0F4F8"/>
          </w:tcPr>
          <w:p>
            <w:r>
              <w:rPr>
                <w:sz w:val="18"/>
              </w:rPr>
              <w:t>G2</w:t>
            </w:r>
          </w:p>
        </w:tc>
        <w:tc>
          <w:tcPr>
            <w:tcW w:type="dxa" w:w="2493"/>
            <w:shd w:val="clear" w:color="auto" w:fill="F0F4F8"/>
          </w:tcPr>
          <w:p>
            <w:r>
              <w:rPr>
                <w:sz w:val="18"/>
              </w:rPr>
              <w:t>SURPLUS-003/004 動作確認・KPI初期計測開始</w:t>
            </w:r>
          </w:p>
        </w:tc>
        <w:tc>
          <w:tcPr>
            <w:tcW w:type="dxa" w:w="2493"/>
            <w:shd w:val="clear" w:color="auto" w:fill="F0F4F8"/>
          </w:tcPr>
          <w:p>
            <w:r>
              <w:rPr>
                <w:sz w:val="18"/>
              </w:rPr>
              <w:t>¥10,000/月</w:t>
            </w:r>
          </w:p>
        </w:tc>
        <w:tc>
          <w:tcPr>
            <w:tcW w:type="dxa" w:w="2493"/>
            <w:shd w:val="clear" w:color="auto" w:fill="F0F4F8"/>
          </w:tcPr>
          <w:p>
            <w:r>
              <w:rPr>
                <w:sz w:val="18"/>
              </w:rPr>
              <w:t>価格交渉・契約書生成</w:t>
            </w:r>
          </w:p>
        </w:tc>
      </w:tr>
      <w:tr>
        <w:tc>
          <w:tcPr>
            <w:tcW w:type="dxa" w:w="2493"/>
            <w:shd w:val="clear" w:color="auto" w:fill="FFFFFF"/>
          </w:tcPr>
          <w:p>
            <w:r>
              <w:rPr>
                <w:sz w:val="18"/>
              </w:rPr>
              <w:t>G3</w:t>
            </w:r>
          </w:p>
        </w:tc>
        <w:tc>
          <w:tcPr>
            <w:tcW w:type="dxa" w:w="2493"/>
            <w:shd w:val="clear" w:color="auto" w:fill="FFFFFF"/>
          </w:tcPr>
          <w:p>
            <w:r>
              <w:rPr>
                <w:sz w:val="18"/>
              </w:rPr>
              <w:t>SURPLUS-005 レポート機能・BigQuery連携完了</w:t>
            </w:r>
          </w:p>
        </w:tc>
        <w:tc>
          <w:tcPr>
            <w:tcW w:type="dxa" w:w="2493"/>
            <w:shd w:val="clear" w:color="auto" w:fill="FFFFFF"/>
          </w:tcPr>
          <w:p>
            <w:r>
              <w:rPr>
                <w:sz w:val="18"/>
              </w:rPr>
              <w:t>¥15,000/月</w:t>
            </w:r>
          </w:p>
        </w:tc>
        <w:tc>
          <w:tcPr>
            <w:tcW w:type="dxa" w:w="2493"/>
            <w:shd w:val="clear" w:color="auto" w:fill="FFFFFF"/>
          </w:tcPr>
          <w:p>
            <w:r>
              <w:rPr>
                <w:sz w:val="18"/>
              </w:rPr>
              <w:t>分析基盤</w:t>
            </w:r>
          </w:p>
        </w:tc>
      </w:tr>
      <w:tr>
        <w:tc>
          <w:tcPr>
            <w:tcW w:type="dxa" w:w="2493"/>
            <w:shd w:val="clear" w:color="auto" w:fill="F0F4F8"/>
          </w:tcPr>
          <w:p>
            <w:r>
              <w:rPr>
                <w:sz w:val="18"/>
              </w:rPr>
              <w:t>G4</w:t>
            </w:r>
          </w:p>
        </w:tc>
        <w:tc>
          <w:tcPr>
            <w:tcW w:type="dxa" w:w="2493"/>
            <w:shd w:val="clear" w:color="auto" w:fill="F0F4F8"/>
          </w:tcPr>
          <w:p>
            <w:r>
              <w:rPr>
                <w:sz w:val="18"/>
              </w:rPr>
              <w:t>3社以上の実証実験完了・転換率70%達成</w:t>
            </w:r>
          </w:p>
        </w:tc>
        <w:tc>
          <w:tcPr>
            <w:tcW w:type="dxa" w:w="2493"/>
            <w:shd w:val="clear" w:color="auto" w:fill="F0F4F8"/>
          </w:tcPr>
          <w:p>
            <w:r>
              <w:rPr>
                <w:sz w:val="18"/>
              </w:rPr>
              <w:t>¥30,000/月</w:t>
            </w:r>
          </w:p>
        </w:tc>
        <w:tc>
          <w:tcPr>
            <w:tcW w:type="dxa" w:w="2493"/>
            <w:shd w:val="clear" w:color="auto" w:fill="F0F4F8"/>
          </w:tcPr>
          <w:p>
            <w:r>
              <w:rPr>
                <w:sz w:val="18"/>
              </w:rPr>
              <w:t>スケールアップ準備</w:t>
            </w:r>
          </w:p>
        </w:tc>
      </w:tr>
    </w:tbl>
    <w:p>
      <w:pPr>
        <w:spacing w:before="0" w:after="40"/>
      </w:pPr>
      <w:r>
        <w:rPr>
          <w:sz w:val="21"/>
        </w:rPr>
        <w:t>FinOps原則: Cloud Run・Firestore無料枠を最大活用。MVP（G1完了）時点での月額インフラコスト上限は¥5,000。GCP予算アラートを¥4,000（80%）および¥5,000（100%）に設定し、超過時は自動通知。</w:t>
      </w:r>
    </w:p>
    <w:p>
      <w:pPr>
        <w:spacing w:before="120" w:after="40"/>
      </w:pPr>
      <w:r>
        <w:rPr>
          <w:b/>
          <w:color w:val="1A3A5C"/>
          <w:sz w:val="24"/>
        </w:rPr>
        <w:t>7. 制約条件・前提条件</w:t>
      </w:r>
    </w:p>
    <w:tbl>
      <w:tblPr>
        <w:tblStyle w:val="TableGrid"/>
        <w:tblW w:type="auto" w:w="0"/>
        <w:tblLook w:firstColumn="1" w:firstRow="1" w:lastColumn="0" w:lastRow="0" w:noHBand="0" w:noVBand="1" w:val="04A0"/>
        <w:tblW w:w="9026" w:type="dxa"/>
      </w:tblPr>
      <w:tblGrid>
        <w:gridCol w:w="4986"/>
        <w:gridCol w:w="4986"/>
      </w:tblGrid>
      <w:tr>
        <w:tc>
          <w:tcPr>
            <w:tcW w:type="dxa" w:w="4986"/>
            <w:shd w:val="clear" w:color="auto" w:fill="1a3a5c"/>
          </w:tcPr>
          <w:p>
            <w:pPr>
              <w:jc w:val="center"/>
            </w:pPr>
            <w:r>
              <w:rPr>
                <w:b/>
                <w:color w:val="FFFFFF"/>
                <w:sz w:val="18"/>
              </w:rPr>
              <w:t>区分</w:t>
            </w:r>
          </w:p>
        </w:tc>
        <w:tc>
          <w:tcPr>
            <w:tcW w:type="dxa" w:w="4986"/>
            <w:shd w:val="clear" w:color="auto" w:fill="1a3a5c"/>
          </w:tcPr>
          <w:p>
            <w:pPr>
              <w:jc w:val="center"/>
            </w:pPr>
            <w:r>
              <w:rPr>
                <w:b/>
                <w:color w:val="FFFFFF"/>
                <w:sz w:val="18"/>
              </w:rPr>
              <w:t>内容</w:t>
            </w:r>
          </w:p>
        </w:tc>
      </w:tr>
      <w:tr>
        <w:tc>
          <w:tcPr>
            <w:tcW w:type="dxa" w:w="4986"/>
            <w:shd w:val="clear" w:color="auto" w:fill="F0F4F8"/>
          </w:tcPr>
          <w:p>
            <w:r>
              <w:rPr>
                <w:sz w:val="18"/>
              </w:rPr>
              <w:t>技術制約</w:t>
            </w:r>
          </w:p>
        </w:tc>
        <w:tc>
          <w:tcPr>
            <w:tcW w:type="dxa" w:w="4986"/>
            <w:shd w:val="clear" w:color="auto" w:fill="F0F4F8"/>
          </w:tcPr>
          <w:p>
            <w:r>
              <w:rPr>
                <w:sz w:val="18"/>
              </w:rPr>
              <w:t>APIキーはフロントエンドに一切露出しない（DevSecOps）</w:t>
            </w:r>
          </w:p>
        </w:tc>
      </w:tr>
      <w:tr>
        <w:tc>
          <w:tcPr>
            <w:tcW w:type="dxa" w:w="4986"/>
            <w:shd w:val="clear" w:color="auto" w:fill="FFFFFF"/>
          </w:tcPr>
          <w:p>
            <w:r>
              <w:rPr>
                <w:sz w:val="18"/>
              </w:rPr>
              <w:t>技術制約</w:t>
            </w:r>
          </w:p>
        </w:tc>
        <w:tc>
          <w:tcPr>
            <w:tcW w:type="dxa" w:w="4986"/>
            <w:shd w:val="clear" w:color="auto" w:fill="FFFFFF"/>
          </w:tcPr>
          <w:p>
            <w:r>
              <w:rPr>
                <w:sz w:val="18"/>
              </w:rPr>
              <w:t>GCPサーバーレス構成（Cloud Run / Firestore / Cloud Functions）固定</w:t>
            </w:r>
          </w:p>
        </w:tc>
      </w:tr>
      <w:tr>
        <w:tc>
          <w:tcPr>
            <w:tcW w:type="dxa" w:w="4986"/>
            <w:shd w:val="clear" w:color="auto" w:fill="F0F4F8"/>
          </w:tcPr>
          <w:p>
            <w:r>
              <w:rPr>
                <w:sz w:val="18"/>
              </w:rPr>
              <w:t>技術制約</w:t>
            </w:r>
          </w:p>
        </w:tc>
        <w:tc>
          <w:tcPr>
            <w:tcW w:type="dxa" w:w="4986"/>
            <w:shd w:val="clear" w:color="auto" w:fill="F0F4F8"/>
          </w:tcPr>
          <w:p>
            <w:r>
              <w:rPr>
                <w:sz w:val="18"/>
              </w:rPr>
              <w:t>オフライン動作: IndexedDB niceeze_cache_v142 使用</w:t>
            </w:r>
          </w:p>
        </w:tc>
      </w:tr>
      <w:tr>
        <w:tc>
          <w:tcPr>
            <w:tcW w:type="dxa" w:w="4986"/>
            <w:shd w:val="clear" w:color="auto" w:fill="FFFFFF"/>
          </w:tcPr>
          <w:p>
            <w:r>
              <w:rPr>
                <w:sz w:val="18"/>
              </w:rPr>
              <w:t>法的制約</w:t>
            </w:r>
          </w:p>
        </w:tc>
        <w:tc>
          <w:tcPr>
            <w:tcW w:type="dxa" w:w="4986"/>
            <w:shd w:val="clear" w:color="auto" w:fill="FFFFFF"/>
          </w:tcPr>
          <w:p>
            <w:r>
              <w:rPr>
                <w:sz w:val="18"/>
              </w:rPr>
              <w:t>個人情報保護法: PII（企業名・担当者名・連絡先）はAES-256暗号化＋RLS</w:t>
            </w:r>
          </w:p>
        </w:tc>
      </w:tr>
      <w:tr>
        <w:tc>
          <w:tcPr>
            <w:tcW w:type="dxa" w:w="4986"/>
            <w:shd w:val="clear" w:color="auto" w:fill="F0F4F8"/>
          </w:tcPr>
          <w:p>
            <w:r>
              <w:rPr>
                <w:sz w:val="18"/>
              </w:rPr>
              <w:t>法的制約</w:t>
            </w:r>
          </w:p>
        </w:tc>
        <w:tc>
          <w:tcPr>
            <w:tcW w:type="dxa" w:w="4986"/>
            <w:shd w:val="clear" w:color="auto" w:fill="F0F4F8"/>
          </w:tcPr>
          <w:p>
            <w:r>
              <w:rPr>
                <w:sz w:val="18"/>
              </w:rPr>
              <w:t>商取引法: 電子契約書はタイムスタンプ付与・改ざん防止対応必須</w:t>
            </w:r>
          </w:p>
        </w:tc>
      </w:tr>
      <w:tr>
        <w:tc>
          <w:tcPr>
            <w:tcW w:type="dxa" w:w="4986"/>
            <w:shd w:val="clear" w:color="auto" w:fill="FFFFFF"/>
          </w:tcPr>
          <w:p>
            <w:r>
              <w:rPr>
                <w:sz w:val="18"/>
              </w:rPr>
              <w:t>業務制約</w:t>
            </w:r>
          </w:p>
        </w:tc>
        <w:tc>
          <w:tcPr>
            <w:tcW w:type="dxa" w:w="4986"/>
            <w:shd w:val="clear" w:color="auto" w:fill="FFFFFF"/>
          </w:tcPr>
          <w:p>
            <w:r>
              <w:rPr>
                <w:sz w:val="18"/>
              </w:rPr>
              <w:t>売り手・買い手双方の企業認証（法人番号照合）を必須とする</w:t>
            </w:r>
          </w:p>
        </w:tc>
      </w:tr>
      <w:tr>
        <w:tc>
          <w:tcPr>
            <w:tcW w:type="dxa" w:w="4986"/>
            <w:shd w:val="clear" w:color="auto" w:fill="F0F4F8"/>
          </w:tcPr>
          <w:p>
            <w:r>
              <w:rPr>
                <w:sz w:val="18"/>
              </w:rPr>
              <w:t>前提条件</w:t>
            </w:r>
          </w:p>
        </w:tc>
        <w:tc>
          <w:tcPr>
            <w:tcW w:type="dxa" w:w="4986"/>
            <w:shd w:val="clear" w:color="auto" w:fill="F0F4F8"/>
          </w:tcPr>
          <w:p>
            <w:r>
              <w:rPr>
                <w:sz w:val="18"/>
              </w:rPr>
              <w:t>GCP Secret Managerにシークレット設定済み（Gate 0）</w:t>
            </w:r>
          </w:p>
        </w:tc>
      </w:tr>
      <w:tr>
        <w:tc>
          <w:tcPr>
            <w:tcW w:type="dxa" w:w="4986"/>
            <w:shd w:val="clear" w:color="auto" w:fill="FFFFFF"/>
          </w:tcPr>
          <w:p>
            <w:r>
              <w:rPr>
                <w:sz w:val="18"/>
              </w:rPr>
              <w:t>前提条件</w:t>
            </w:r>
          </w:p>
        </w:tc>
        <w:tc>
          <w:tcPr>
            <w:tcW w:type="dxa" w:w="4986"/>
            <w:shd w:val="clear" w:color="auto" w:fill="FFFFFF"/>
          </w:tcPr>
          <w:p>
            <w:r>
              <w:rPr>
                <w:sz w:val="18"/>
              </w:rPr>
              <w:t>法人番号API（国税庁）への接続環境が整備済み</w:t>
            </w:r>
          </w:p>
        </w:tc>
      </w:tr>
    </w:tbl>
    <w:p>
      <w:pPr>
        <w:spacing w:before="120" w:after="40"/>
      </w:pPr>
      <w:r>
        <w:rPr>
          <w:b/>
          <w:color w:val="1A3A5C"/>
          <w:sz w:val="24"/>
        </w:rPr>
        <w:t>8. 不滅憲章との整合性確認チェックリスト</w:t>
      </w:r>
    </w:p>
    <w:tbl>
      <w:tblPr>
        <w:tblStyle w:val="TableGrid"/>
        <w:tblW w:type="auto" w:w="0"/>
        <w:tblLook w:firstColumn="1" w:firstRow="1" w:lastColumn="0" w:lastRow="0" w:noHBand="0" w:noVBand="1" w:val="04A0"/>
        <w:tblW w:w="9026" w:type="dxa"/>
      </w:tblPr>
      <w:tblGrid>
        <w:gridCol w:w="3324"/>
        <w:gridCol w:w="3324"/>
        <w:gridCol w:w="3324"/>
      </w:tblGrid>
      <w:tr>
        <w:tc>
          <w:tcPr>
            <w:tcW w:type="dxa" w:w="3324"/>
            <w:shd w:val="clear" w:color="auto" w:fill="1a3a5c"/>
          </w:tcPr>
          <w:p>
            <w:pPr>
              <w:jc w:val="center"/>
            </w:pPr>
            <w:r>
              <w:rPr>
                <w:b/>
                <w:color w:val="FFFFFF"/>
                <w:sz w:val="18"/>
              </w:rPr>
              <w:t>原則</w:t>
            </w:r>
          </w:p>
        </w:tc>
        <w:tc>
          <w:tcPr>
            <w:tcW w:type="dxa" w:w="3324"/>
            <w:shd w:val="clear" w:color="auto" w:fill="1a3a5c"/>
          </w:tcPr>
          <w:p>
            <w:pPr>
              <w:jc w:val="center"/>
            </w:pPr>
            <w:r>
              <w:rPr>
                <w:b/>
                <w:color w:val="FFFFFF"/>
                <w:sz w:val="18"/>
              </w:rPr>
              <w:t>確認項目</w:t>
            </w:r>
          </w:p>
        </w:tc>
        <w:tc>
          <w:tcPr>
            <w:tcW w:type="dxa" w:w="3324"/>
            <w:shd w:val="clear" w:color="auto" w:fill="1a3a5c"/>
          </w:tcPr>
          <w:p>
            <w:pPr>
              <w:jc w:val="center"/>
            </w:pPr>
            <w:r>
              <w:rPr>
                <w:b/>
                <w:color w:val="FFFFFF"/>
                <w:sz w:val="18"/>
              </w:rPr>
              <w:t>判定</w:t>
            </w:r>
          </w:p>
        </w:tc>
      </w:tr>
      <w:tr>
        <w:tc>
          <w:tcPr>
            <w:tcW w:type="dxa" w:w="3324"/>
            <w:shd w:val="clear" w:color="auto" w:fill="F0F4F8"/>
          </w:tcPr>
          <w:p>
            <w:r>
              <w:rPr>
                <w:sz w:val="18"/>
              </w:rPr>
              <w:t>隠蔽禁止</w:t>
            </w:r>
          </w:p>
        </w:tc>
        <w:tc>
          <w:tcPr>
            <w:tcW w:type="dxa" w:w="3324"/>
            <w:shd w:val="clear" w:color="auto" w:fill="F0F4F8"/>
          </w:tcPr>
          <w:p>
            <w:r>
              <w:rPr>
                <w:sz w:val="18"/>
              </w:rPr>
              <w:t>APIキーをフロントエンドに含めていないか</w:t>
            </w:r>
          </w:p>
        </w:tc>
        <w:tc>
          <w:tcPr>
            <w:tcW w:type="dxa" w:w="3324"/>
            <w:shd w:val="clear" w:color="auto" w:fill="F0F4F8"/>
          </w:tcPr>
          <w:p>
            <w:r>
              <w:rPr>
                <w:sz w:val="18"/>
              </w:rPr>
              <w:t>✅ 確認済</w:t>
            </w:r>
          </w:p>
        </w:tc>
      </w:tr>
      <w:tr>
        <w:tc>
          <w:tcPr>
            <w:tcW w:type="dxa" w:w="3324"/>
            <w:shd w:val="clear" w:color="auto" w:fill="FFFFFF"/>
          </w:tcPr>
          <w:p>
            <w:r>
              <w:rPr>
                <w:sz w:val="18"/>
              </w:rPr>
              <w:t>隠蔽禁止</w:t>
            </w:r>
          </w:p>
        </w:tc>
        <w:tc>
          <w:tcPr>
            <w:tcW w:type="dxa" w:w="3324"/>
            <w:shd w:val="clear" w:color="auto" w:fill="FFFFFF"/>
          </w:tcPr>
          <w:p>
            <w:r>
              <w:rPr>
                <w:sz w:val="18"/>
              </w:rPr>
              <w:t>エラー情報を握り潰していないか（監査ログに記録）</w:t>
            </w:r>
          </w:p>
        </w:tc>
        <w:tc>
          <w:tcPr>
            <w:tcW w:type="dxa" w:w="3324"/>
            <w:shd w:val="clear" w:color="auto" w:fill="FFFFFF"/>
          </w:tcPr>
          <w:p>
            <w:r>
              <w:rPr>
                <w:sz w:val="18"/>
              </w:rPr>
              <w:t>✅ 確認済</w:t>
            </w:r>
          </w:p>
        </w:tc>
      </w:tr>
      <w:tr>
        <w:tc>
          <w:tcPr>
            <w:tcW w:type="dxa" w:w="3324"/>
            <w:shd w:val="clear" w:color="auto" w:fill="F0F4F8"/>
          </w:tcPr>
          <w:p>
            <w:r>
              <w:rPr>
                <w:sz w:val="18"/>
              </w:rPr>
              <w:t>不明点隔離</w:t>
            </w:r>
          </w:p>
        </w:tc>
        <w:tc>
          <w:tcPr>
            <w:tcW w:type="dxa" w:w="3324"/>
            <w:shd w:val="clear" w:color="auto" w:fill="F0F4F8"/>
          </w:tcPr>
          <w:p>
            <w:r>
              <w:rPr>
                <w:sz w:val="18"/>
              </w:rPr>
              <w:t>未確定仕様を【松浦CEO要件定義待ち】として明記しているか</w:t>
            </w:r>
          </w:p>
        </w:tc>
        <w:tc>
          <w:tcPr>
            <w:tcW w:type="dxa" w:w="3324"/>
            <w:shd w:val="clear" w:color="auto" w:fill="F0F4F8"/>
          </w:tcPr>
          <w:p>
            <w:r>
              <w:rPr>
                <w:sz w:val="18"/>
              </w:rPr>
              <w:t>✅ 確認済</w:t>
            </w:r>
          </w:p>
        </w:tc>
      </w:tr>
      <w:tr>
        <w:tc>
          <w:tcPr>
            <w:tcW w:type="dxa" w:w="3324"/>
            <w:shd w:val="clear" w:color="auto" w:fill="FFFFFF"/>
          </w:tcPr>
          <w:p>
            <w:r>
              <w:rPr>
                <w:sz w:val="18"/>
              </w:rPr>
              <w:t>顧客起点</w:t>
            </w:r>
          </w:p>
        </w:tc>
        <w:tc>
          <w:tcPr>
            <w:tcW w:type="dxa" w:w="3324"/>
            <w:shd w:val="clear" w:color="auto" w:fill="FFFFFF"/>
          </w:tcPr>
          <w:p>
            <w:r>
              <w:rPr>
                <w:sz w:val="18"/>
              </w:rPr>
              <w:t>KPIが売り手・買い手企業の体験向上に直結しているか</w:t>
            </w:r>
          </w:p>
        </w:tc>
        <w:tc>
          <w:tcPr>
            <w:tcW w:type="dxa" w:w="3324"/>
            <w:shd w:val="clear" w:color="auto" w:fill="FFFFFF"/>
          </w:tcPr>
          <w:p>
            <w:r>
              <w:rPr>
                <w:sz w:val="18"/>
              </w:rPr>
              <w:t>✅ 確認済</w:t>
            </w:r>
          </w:p>
        </w:tc>
      </w:tr>
      <w:tr>
        <w:tc>
          <w:tcPr>
            <w:tcW w:type="dxa" w:w="3324"/>
            <w:shd w:val="clear" w:color="auto" w:fill="F0F4F8"/>
          </w:tcPr>
          <w:p>
            <w:r>
              <w:rPr>
                <w:sz w:val="18"/>
              </w:rPr>
              <w:t>Gate制</w:t>
            </w:r>
          </w:p>
        </w:tc>
        <w:tc>
          <w:tcPr>
            <w:tcW w:type="dxa" w:w="3324"/>
            <w:shd w:val="clear" w:color="auto" w:fill="F0F4F8"/>
          </w:tcPr>
          <w:p>
            <w:r>
              <w:rPr>
                <w:sz w:val="18"/>
              </w:rPr>
              <w:t>Gate 0〜G1の未承認実装を含んでいないか</w:t>
            </w:r>
          </w:p>
        </w:tc>
        <w:tc>
          <w:tcPr>
            <w:tcW w:type="dxa" w:w="3324"/>
            <w:shd w:val="clear" w:color="auto" w:fill="F0F4F8"/>
          </w:tcPr>
          <w:p>
            <w:r>
              <w:rPr>
                <w:sz w:val="18"/>
              </w:rPr>
              <w:t>✅ 確認済</w:t>
            </w:r>
          </w:p>
        </w:tc>
      </w:tr>
      <w:tr>
        <w:tc>
          <w:tcPr>
            <w:tcW w:type="dxa" w:w="3324"/>
            <w:shd w:val="clear" w:color="auto" w:fill="FFFFFF"/>
          </w:tcPr>
          <w:p>
            <w:r>
              <w:rPr>
                <w:sz w:val="18"/>
              </w:rPr>
              <w:t>FinOps</w:t>
            </w:r>
          </w:p>
        </w:tc>
        <w:tc>
          <w:tcPr>
            <w:tcW w:type="dxa" w:w="3324"/>
            <w:shd w:val="clear" w:color="auto" w:fill="FFFFFF"/>
          </w:tcPr>
          <w:p>
            <w:r>
              <w:rPr>
                <w:sz w:val="18"/>
              </w:rPr>
              <w:t>MVP月額¥5,000上限を遵守しているか</w:t>
            </w:r>
          </w:p>
        </w:tc>
        <w:tc>
          <w:tcPr>
            <w:tcW w:type="dxa" w:w="3324"/>
            <w:shd w:val="clear" w:color="auto" w:fill="FFFFFF"/>
          </w:tcPr>
          <w:p>
            <w:r>
              <w:rPr>
                <w:sz w:val="18"/>
              </w:rPr>
              <w:t>✅ 確認済</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SURPLUS_SHIFT 余剰在庫転換システム  |  ビジネス要件定義書 v1.0  |  © 2026 株式会社NiceEze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