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7F6E" w:rsidRPr="00470C5F" w:rsidRDefault="00AC648C" w:rsidP="00470C5F">
      <w:pPr>
        <w:spacing w:after="120"/>
        <w:jc w:val="both"/>
        <w:rPr>
          <w:rFonts w:ascii="Times New Roman" w:hAnsi="Times New Roman" w:cs="Times New Roman"/>
        </w:rPr>
      </w:pPr>
      <w:r w:rsidRPr="00470C5F">
        <w:rPr>
          <w:rFonts w:ascii="Times New Roman" w:hAnsi="Times New Roman" w:cs="Times New Roman"/>
          <w:b/>
          <w:sz w:val="36"/>
        </w:rPr>
        <w:t>Supplementary Material</w:t>
      </w:r>
    </w:p>
    <w:p w:rsidR="00057F6E" w:rsidRPr="00470C5F" w:rsidRDefault="00AC648C" w:rsidP="00470C5F">
      <w:pPr>
        <w:spacing w:after="360"/>
        <w:jc w:val="both"/>
        <w:rPr>
          <w:rFonts w:ascii="Times New Roman" w:hAnsi="Times New Roman" w:cs="Times New Roman"/>
        </w:rPr>
      </w:pPr>
      <w:r w:rsidRPr="00470C5F">
        <w:rPr>
          <w:rFonts w:ascii="Times New Roman" w:hAnsi="Times New Roman" w:cs="Times New Roman"/>
          <w:i/>
          <w:sz w:val="26"/>
        </w:rPr>
        <w:t>Landscape composition and configuration as drivers of the Effective Habitat Area of threatened mammals in the Atlantic Forest of Rio de Janeiro State</w:t>
      </w:r>
    </w:p>
    <w:p w:rsidR="00057F6E" w:rsidRPr="00AC648C" w:rsidRDefault="00AC648C" w:rsidP="00AC648C">
      <w:pPr>
        <w:spacing w:line="360" w:lineRule="auto"/>
        <w:jc w:val="both"/>
        <w:rPr>
          <w:rFonts w:ascii="Times New Roman" w:hAnsi="Times New Roman" w:cs="Times New Roman"/>
          <w:sz w:val="24"/>
          <w:szCs w:val="24"/>
        </w:rPr>
      </w:pPr>
      <w:r w:rsidRPr="00AC648C">
        <w:rPr>
          <w:rFonts w:ascii="Times New Roman" w:hAnsi="Times New Roman" w:cs="Times New Roman"/>
          <w:sz w:val="24"/>
          <w:szCs w:val="24"/>
        </w:rPr>
        <w:t>This document provides supporting information for the analyses presented in the main manuscript. Section numbers follow the structure of the manuscript. Tables labelled S1 to S10 are those directly referenced in the main text; Tables S11 to S15 provide additional results that complement the main findings. All landscape metrics were calculated for the Forest Vegetation class, the response variable Effective Habitat Area (EHA, in hectares) is the geodetic area of each Sampling Unit (SU) computed under the Albers Equal-Area Conic projection (standard parallels 7°S and 22°S; central meridian 54°W), and all randomisation-based tests used 9,999 permutations.</w:t>
      </w:r>
    </w:p>
    <w:p w:rsidR="00057F6E" w:rsidRPr="00470C5F" w:rsidRDefault="00AC648C" w:rsidP="00470C5F">
      <w:pPr>
        <w:spacing w:before="360" w:after="120"/>
        <w:jc w:val="both"/>
        <w:rPr>
          <w:rFonts w:ascii="Times New Roman" w:hAnsi="Times New Roman" w:cs="Times New Roman"/>
        </w:rPr>
      </w:pPr>
      <w:r w:rsidRPr="00470C5F">
        <w:rPr>
          <w:rFonts w:ascii="Times New Roman" w:hAnsi="Times New Roman" w:cs="Times New Roman"/>
          <w:b/>
          <w:sz w:val="28"/>
        </w:rPr>
        <w:t>1. Materials and Methods</w:t>
      </w:r>
    </w:p>
    <w:p w:rsidR="00057F6E" w:rsidRPr="00470C5F" w:rsidRDefault="00AC648C" w:rsidP="00470C5F">
      <w:pPr>
        <w:spacing w:before="240" w:after="80"/>
        <w:jc w:val="both"/>
        <w:rPr>
          <w:rFonts w:ascii="Times New Roman" w:hAnsi="Times New Roman" w:cs="Times New Roman"/>
        </w:rPr>
      </w:pPr>
      <w:r w:rsidRPr="00470C5F">
        <w:rPr>
          <w:rFonts w:ascii="Times New Roman" w:hAnsi="Times New Roman" w:cs="Times New Roman"/>
          <w:b/>
          <w:sz w:val="24"/>
        </w:rPr>
        <w:t>1.1 Aggregation of Land Use and Land Cover Classes (Section 2.4 of the manuscript)</w:t>
      </w:r>
    </w:p>
    <w:p w:rsidR="00057F6E" w:rsidRPr="00AC648C" w:rsidRDefault="00AC648C" w:rsidP="00AC648C">
      <w:pPr>
        <w:spacing w:after="80" w:line="360" w:lineRule="auto"/>
        <w:jc w:val="both"/>
        <w:rPr>
          <w:rFonts w:ascii="Times New Roman" w:hAnsi="Times New Roman" w:cs="Times New Roman"/>
          <w:sz w:val="24"/>
          <w:szCs w:val="24"/>
        </w:rPr>
      </w:pPr>
      <w:r w:rsidRPr="00AC648C">
        <w:rPr>
          <w:rFonts w:ascii="Times New Roman" w:hAnsi="Times New Roman" w:cs="Times New Roman"/>
          <w:sz w:val="24"/>
          <w:szCs w:val="24"/>
        </w:rPr>
        <w:t>The 22 terminal MapBiomas Collection 10.1 subclasses (Souza et al., 2020; MapBiomas, 2025) were aggregated into five ecologically interpretable categories prior to the multivariate analyses. The aggregation was guided by a two-stage spatial correlation analysis, in which 231 pairwise Pearson correlations were computed among all subclass binary rasters using a stratified sample of 100,000 cells. Of these five categories, four were retained as compositional predictors in the subsequent ecological analyses (Forest Vegetation, Farming, Herbaceous and Shrubby Vegetation, and Non-vegetated Areas). The Water category was excluded because the focal taxa are terrestrial medium and large-sized mammals, for which water bodies act as habitat boundaries rather than habitat per se.</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S1. </w:t>
      </w:r>
      <w:r w:rsidRPr="00470C5F">
        <w:rPr>
          <w:rFonts w:ascii="Times New Roman" w:hAnsi="Times New Roman" w:cs="Times New Roman"/>
          <w:sz w:val="20"/>
        </w:rPr>
        <w:t>Description of the four Land Use and Land Cover (LULC) functional categories retained as compositional predictors, with the MapBiomas Collection 10.1 subclasses grouped within each.</w:t>
      </w:r>
    </w:p>
    <w:tbl>
      <w:tblPr>
        <w:tblStyle w:val="GradeClara-nfase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4"/>
        <w:gridCol w:w="3118"/>
        <w:gridCol w:w="4535"/>
      </w:tblGrid>
      <w:tr w:rsidR="00057F6E" w:rsidRPr="00470C5F" w:rsidTr="005317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Borders>
              <w:top w:val="single" w:sz="4" w:space="0" w:color="auto"/>
              <w:left w:val="none" w:sz="0" w:space="0" w:color="auto"/>
              <w:bottom w:val="single" w:sz="4" w:space="0" w:color="auto"/>
              <w:right w:val="none" w:sz="0" w:space="0" w:color="auto"/>
            </w:tcBorders>
            <w:shd w:val="clear" w:color="auto" w:fill="auto"/>
          </w:tcPr>
          <w:p w:rsidR="00057F6E" w:rsidRPr="00470C5F" w:rsidRDefault="00AC648C" w:rsidP="00531778">
            <w:pPr>
              <w:spacing w:line="276" w:lineRule="auto"/>
              <w:jc w:val="both"/>
              <w:rPr>
                <w:rFonts w:ascii="Times New Roman" w:hAnsi="Times New Roman" w:cs="Times New Roman"/>
              </w:rPr>
            </w:pPr>
            <w:r w:rsidRPr="00470C5F">
              <w:rPr>
                <w:rFonts w:ascii="Times New Roman" w:hAnsi="Times New Roman" w:cs="Times New Roman"/>
                <w:sz w:val="18"/>
              </w:rPr>
              <w:t>Class name</w:t>
            </w:r>
          </w:p>
        </w:tc>
        <w:tc>
          <w:tcPr>
            <w:tcW w:w="3118" w:type="dxa"/>
            <w:tcBorders>
              <w:top w:val="single" w:sz="4" w:space="0" w:color="auto"/>
              <w:left w:val="none" w:sz="0" w:space="0" w:color="auto"/>
              <w:bottom w:val="single" w:sz="4" w:space="0" w:color="auto"/>
              <w:right w:val="none" w:sz="0" w:space="0" w:color="auto"/>
            </w:tcBorders>
            <w:shd w:val="clear" w:color="auto" w:fill="auto"/>
          </w:tcPr>
          <w:p w:rsidR="00057F6E" w:rsidRPr="00470C5F" w:rsidRDefault="00AC648C" w:rsidP="0053177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0C5F">
              <w:rPr>
                <w:rFonts w:ascii="Times New Roman" w:hAnsi="Times New Roman" w:cs="Times New Roman"/>
                <w:sz w:val="18"/>
              </w:rPr>
              <w:t>Grouped subclasses</w:t>
            </w:r>
          </w:p>
        </w:tc>
        <w:tc>
          <w:tcPr>
            <w:tcW w:w="4535" w:type="dxa"/>
            <w:tcBorders>
              <w:top w:val="single" w:sz="4" w:space="0" w:color="auto"/>
              <w:left w:val="none" w:sz="0" w:space="0" w:color="auto"/>
              <w:bottom w:val="single" w:sz="4" w:space="0" w:color="auto"/>
              <w:right w:val="none" w:sz="0" w:space="0" w:color="auto"/>
            </w:tcBorders>
            <w:shd w:val="clear" w:color="auto" w:fill="auto"/>
          </w:tcPr>
          <w:p w:rsidR="00057F6E" w:rsidRPr="00470C5F" w:rsidRDefault="00AC648C" w:rsidP="0053177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0C5F">
              <w:rPr>
                <w:rFonts w:ascii="Times New Roman" w:hAnsi="Times New Roman" w:cs="Times New Roman"/>
                <w:sz w:val="18"/>
              </w:rPr>
              <w:t>Description</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Borders>
              <w:top w:val="single" w:sz="4" w:space="0" w:color="auto"/>
              <w:left w:val="none" w:sz="0" w:space="0" w:color="auto"/>
              <w:bottom w:val="none" w:sz="0" w:space="0" w:color="auto"/>
              <w:right w:val="none" w:sz="0" w:space="0" w:color="auto"/>
            </w:tcBorders>
            <w:shd w:val="clear" w:color="auto" w:fill="auto"/>
          </w:tcPr>
          <w:p w:rsidR="00057F6E" w:rsidRPr="00470C5F" w:rsidRDefault="00AC648C" w:rsidP="00531778">
            <w:pPr>
              <w:spacing w:line="276" w:lineRule="auto"/>
              <w:jc w:val="both"/>
              <w:rPr>
                <w:rFonts w:ascii="Times New Roman" w:hAnsi="Times New Roman" w:cs="Times New Roman"/>
              </w:rPr>
            </w:pPr>
            <w:r w:rsidRPr="00470C5F">
              <w:rPr>
                <w:rFonts w:ascii="Times New Roman" w:hAnsi="Times New Roman" w:cs="Times New Roman"/>
                <w:sz w:val="18"/>
              </w:rPr>
              <w:t>Forest Vegetation</w:t>
            </w:r>
          </w:p>
        </w:tc>
        <w:tc>
          <w:tcPr>
            <w:tcW w:w="3118" w:type="dxa"/>
            <w:tcBorders>
              <w:top w:val="single" w:sz="4" w:space="0" w:color="auto"/>
              <w:left w:val="none" w:sz="0" w:space="0" w:color="auto"/>
              <w:bottom w:val="none" w:sz="0" w:space="0" w:color="auto"/>
              <w:right w:val="none" w:sz="0" w:space="0" w:color="auto"/>
            </w:tcBorders>
            <w:shd w:val="clear" w:color="auto" w:fill="auto"/>
          </w:tcPr>
          <w:p w:rsidR="00057F6E" w:rsidRPr="00470C5F"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0C5F">
              <w:rPr>
                <w:rFonts w:ascii="Times New Roman" w:hAnsi="Times New Roman" w:cs="Times New Roman"/>
                <w:sz w:val="18"/>
              </w:rPr>
              <w:t>Forest Formation; Mangrove; Floodable Forest; Savanna Formation; Wooded Sandbank Vegetation</w:t>
            </w:r>
          </w:p>
        </w:tc>
        <w:tc>
          <w:tcPr>
            <w:tcW w:w="4535" w:type="dxa"/>
            <w:tcBorders>
              <w:top w:val="single" w:sz="4" w:space="0" w:color="auto"/>
              <w:left w:val="none" w:sz="0" w:space="0" w:color="auto"/>
              <w:bottom w:val="none" w:sz="0" w:space="0" w:color="auto"/>
              <w:right w:val="none" w:sz="0" w:space="0" w:color="auto"/>
            </w:tcBorders>
            <w:shd w:val="clear" w:color="auto" w:fill="auto"/>
          </w:tcPr>
          <w:p w:rsidR="00057F6E" w:rsidRPr="00470C5F"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0C5F">
              <w:rPr>
                <w:rFonts w:ascii="Times New Roman" w:hAnsi="Times New Roman" w:cs="Times New Roman"/>
                <w:sz w:val="18"/>
              </w:rPr>
              <w:t>Natural areas predominantly covered by woody vegetation, including dense and open forest formations with continuous canopies, coastal mangrove ecosystems, periodically or permanently flooded forests, tree-dominated savanna formations, and coastal wooded restinga.</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Farming</w:t>
            </w:r>
          </w:p>
        </w:tc>
        <w:tc>
          <w:tcPr>
            <w:tcW w:w="3118"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Pasture; Agriculture; Forest Plantation; Mosaic of Uses</w:t>
            </w:r>
          </w:p>
        </w:tc>
        <w:tc>
          <w:tcPr>
            <w:tcW w:w="453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Anthropogenic landscapes dedicated to agricultural and livestock activities, including planted and managed pastures, temporary and permanent crop fields, commercial forest plantations such as silviculture, and mixed mosaics where agricultural and pastoral land uses cannot be distinguished at the pixel resolution.</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 xml:space="preserve">Herbaceous and </w:t>
            </w:r>
            <w:r w:rsidRPr="00531778">
              <w:rPr>
                <w:rFonts w:ascii="Times New Roman" w:hAnsi="Times New Roman" w:cs="Times New Roman"/>
                <w:sz w:val="20"/>
                <w:szCs w:val="20"/>
              </w:rPr>
              <w:lastRenderedPageBreak/>
              <w:t>Shrubby Vegetation</w:t>
            </w:r>
          </w:p>
        </w:tc>
        <w:tc>
          <w:tcPr>
            <w:tcW w:w="3118"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lastRenderedPageBreak/>
              <w:t xml:space="preserve">Wetland; Grassland; Hypersaline </w:t>
            </w:r>
            <w:r w:rsidRPr="00531778">
              <w:rPr>
                <w:rFonts w:ascii="Times New Roman" w:hAnsi="Times New Roman" w:cs="Times New Roman"/>
                <w:sz w:val="20"/>
                <w:szCs w:val="20"/>
              </w:rPr>
              <w:lastRenderedPageBreak/>
              <w:t>Tidal Flat; Rocky Outcrop; Herbaceous Sandbank Vegetation</w:t>
            </w:r>
          </w:p>
        </w:tc>
        <w:tc>
          <w:tcPr>
            <w:tcW w:w="453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lastRenderedPageBreak/>
              <w:t>Natural ecosystems dominated by non-woody, grass-</w:t>
            </w:r>
            <w:r w:rsidRPr="00531778">
              <w:rPr>
                <w:rFonts w:ascii="Times New Roman" w:hAnsi="Times New Roman" w:cs="Times New Roman"/>
                <w:sz w:val="20"/>
                <w:szCs w:val="20"/>
              </w:rPr>
              <w:lastRenderedPageBreak/>
              <w:t>like, or low-stature vegetation. Includes natural grasslands, seasonally or permanently flooded herbaceous wetlands, hypersaline tidal flats (apicuns), sparsely vegetated rocky outcrops, and coastal herbaceous restinga formations.</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Borders>
              <w:top w:val="none" w:sz="0" w:space="0" w:color="auto"/>
              <w:left w:val="none" w:sz="0" w:space="0" w:color="auto"/>
              <w:bottom w:val="single" w:sz="4"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lastRenderedPageBreak/>
              <w:t>Non-vegetated Areas</w:t>
            </w:r>
          </w:p>
        </w:tc>
        <w:tc>
          <w:tcPr>
            <w:tcW w:w="3118" w:type="dxa"/>
            <w:tcBorders>
              <w:top w:val="none" w:sz="0" w:space="0" w:color="auto"/>
              <w:left w:val="none" w:sz="0" w:space="0" w:color="auto"/>
              <w:bottom w:val="single" w:sz="4"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Beach, Dune and Sand Spot; Urban Area; Mining; Other Non-Vegetated Areas</w:t>
            </w:r>
          </w:p>
        </w:tc>
        <w:tc>
          <w:tcPr>
            <w:tcW w:w="4535" w:type="dxa"/>
            <w:tcBorders>
              <w:top w:val="none" w:sz="0" w:space="0" w:color="auto"/>
              <w:left w:val="none" w:sz="0" w:space="0" w:color="auto"/>
              <w:bottom w:val="single" w:sz="4"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Surfaces without persistent vegetation cover, including natural exposed substrates such as beaches, dunes and sand spots, and anthropogenic non-vegetated surfaces such as urban areas, mining sites, and bare ground.</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Class definitions follow MapBiomas Collection 10.1 (MapBiomas, 2025). A fifth category (Water) was computed during the aggregation but excluded from subsequent ecological analyses because the focal taxa are strictly terrestrial.</w:t>
      </w:r>
    </w:p>
    <w:p w:rsidR="00057F6E" w:rsidRPr="00470C5F" w:rsidRDefault="00AC648C" w:rsidP="00470C5F">
      <w:pPr>
        <w:spacing w:before="240" w:after="80"/>
        <w:jc w:val="both"/>
        <w:rPr>
          <w:rFonts w:ascii="Times New Roman" w:hAnsi="Times New Roman" w:cs="Times New Roman"/>
        </w:rPr>
      </w:pPr>
      <w:r w:rsidRPr="00470C5F">
        <w:rPr>
          <w:rFonts w:ascii="Times New Roman" w:hAnsi="Times New Roman" w:cs="Times New Roman"/>
          <w:b/>
          <w:sz w:val="24"/>
        </w:rPr>
        <w:t>1.2 Landscape Metrics: Definitions and Ecological Interpretation (Section 2.5 of the manuscript)</w:t>
      </w:r>
    </w:p>
    <w:p w:rsidR="00057F6E" w:rsidRPr="00470C5F" w:rsidRDefault="00AC648C" w:rsidP="00531778">
      <w:pPr>
        <w:spacing w:after="80" w:line="360" w:lineRule="auto"/>
        <w:jc w:val="both"/>
        <w:rPr>
          <w:rFonts w:ascii="Times New Roman" w:hAnsi="Times New Roman" w:cs="Times New Roman"/>
        </w:rPr>
      </w:pPr>
      <w:r w:rsidRPr="00AC648C">
        <w:rPr>
          <w:rFonts w:ascii="Times New Roman" w:hAnsi="Times New Roman" w:cs="Times New Roman"/>
          <w:sz w:val="24"/>
          <w:szCs w:val="24"/>
        </w:rPr>
        <w:t xml:space="preserve">Landscape structure and composition were quantified from the 30 m MapBiomas LULC raster (Collection 10.1) using the landscapemetrics package (Hesselbarth et al., 2019) in R and FRAGSTATS v4.2 (McGarigal et al., 2002; McGarigal, 2014). Class-level metrics were calculated for the Forest Vegetation class. </w:t>
      </w:r>
    </w:p>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sz w:val="20"/>
        </w:rPr>
        <w:t xml:space="preserve">Figure S1. </w:t>
      </w:r>
      <w:r w:rsidRPr="00470C5F">
        <w:rPr>
          <w:rFonts w:ascii="Times New Roman" w:hAnsi="Times New Roman" w:cs="Times New Roman"/>
          <w:sz w:val="20"/>
        </w:rPr>
        <w:t>Pearson correlation matrix among all candidate landscape and socio-environmental predictors used in the collinearity diagnostics described in Section 2.6.1 of the manuscript. Pairwise coefficients with absolute values above 0.7 were flagged for further evaluation with Variance Inflation Factors (Table S3).</w:t>
      </w:r>
    </w:p>
    <w:p w:rsidR="00531778" w:rsidRDefault="00531778" w:rsidP="00531778">
      <w:pPr>
        <w:spacing w:after="160"/>
        <w:jc w:val="both"/>
        <w:rPr>
          <w:rFonts w:ascii="Times New Roman" w:hAnsi="Times New Roman" w:cs="Times New Roman"/>
          <w:sz w:val="20"/>
        </w:rPr>
      </w:pPr>
      <w:r>
        <w:rPr>
          <w:rFonts w:ascii="Times New Roman" w:hAnsi="Times New Roman" w:cs="Times New Roman"/>
          <w:b/>
          <w:noProof/>
          <w:sz w:val="20"/>
        </w:rPr>
        <w:drawing>
          <wp:inline distT="0" distB="0" distL="0" distR="0">
            <wp:extent cx="4810125" cy="4132643"/>
            <wp:effectExtent l="19050" t="19050" r="9525" b="203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linearity_Correlation_GLM.png"/>
                    <pic:cNvPicPr/>
                  </pic:nvPicPr>
                  <pic:blipFill rotWithShape="1">
                    <a:blip r:embed="rId6"/>
                    <a:srcRect l="5265" t="15643" r="9296" b="10951"/>
                    <a:stretch/>
                  </pic:blipFill>
                  <pic:spPr bwMode="auto">
                    <a:xfrm>
                      <a:off x="0" y="0"/>
                      <a:ext cx="4810648" cy="41330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531778" w:rsidRDefault="00531778" w:rsidP="00531778">
      <w:pPr>
        <w:spacing w:after="160"/>
        <w:jc w:val="both"/>
        <w:rPr>
          <w:rFonts w:ascii="Times New Roman" w:hAnsi="Times New Roman" w:cs="Times New Roman"/>
          <w:b/>
          <w:sz w:val="20"/>
        </w:rPr>
      </w:pPr>
    </w:p>
    <w:p w:rsidR="00057F6E" w:rsidRPr="00470C5F" w:rsidRDefault="00AC648C" w:rsidP="00531778">
      <w:pPr>
        <w:spacing w:after="160"/>
        <w:jc w:val="both"/>
        <w:rPr>
          <w:rFonts w:ascii="Times New Roman" w:hAnsi="Times New Roman" w:cs="Times New Roman"/>
        </w:rPr>
      </w:pPr>
      <w:r w:rsidRPr="00470C5F">
        <w:rPr>
          <w:rFonts w:ascii="Times New Roman" w:hAnsi="Times New Roman" w:cs="Times New Roman"/>
          <w:b/>
          <w:sz w:val="20"/>
        </w:rPr>
        <w:lastRenderedPageBreak/>
        <w:t xml:space="preserve">Table S2. </w:t>
      </w:r>
      <w:r w:rsidRPr="00470C5F">
        <w:rPr>
          <w:rFonts w:ascii="Times New Roman" w:hAnsi="Times New Roman" w:cs="Times New Roman"/>
          <w:sz w:val="20"/>
        </w:rPr>
        <w:t>Selected landscape metrics, units, calculation method and ecological interpretation. All metrics were calculated for the Forest Vegetation class.</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752"/>
        <w:gridCol w:w="1350"/>
        <w:gridCol w:w="1984"/>
        <w:gridCol w:w="4082"/>
      </w:tblGrid>
      <w:tr w:rsidR="00057F6E" w:rsidRPr="00470C5F" w:rsidTr="005317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single" w:sz="4" w:space="0" w:color="auto"/>
              <w:left w:val="none" w:sz="0" w:space="0" w:color="auto"/>
              <w:bottom w:val="single" w:sz="4"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Metric</w:t>
            </w:r>
          </w:p>
        </w:tc>
        <w:tc>
          <w:tcPr>
            <w:tcW w:w="1237" w:type="dxa"/>
            <w:tcBorders>
              <w:top w:val="single" w:sz="4" w:space="0" w:color="auto"/>
              <w:left w:val="none" w:sz="0" w:space="0" w:color="auto"/>
              <w:bottom w:val="single" w:sz="4" w:space="0" w:color="auto"/>
              <w:right w:val="none" w:sz="0" w:space="0" w:color="auto"/>
            </w:tcBorders>
            <w:shd w:val="clear" w:color="auto" w:fill="auto"/>
          </w:tcPr>
          <w:p w:rsidR="00057F6E" w:rsidRPr="00531778" w:rsidRDefault="00AC648C" w:rsidP="00470C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Abbreviation</w:t>
            </w:r>
          </w:p>
        </w:tc>
        <w:tc>
          <w:tcPr>
            <w:tcW w:w="1984" w:type="dxa"/>
            <w:tcBorders>
              <w:top w:val="single" w:sz="4" w:space="0" w:color="auto"/>
              <w:left w:val="none" w:sz="0" w:space="0" w:color="auto"/>
              <w:bottom w:val="single" w:sz="4" w:space="0" w:color="auto"/>
              <w:right w:val="none" w:sz="0" w:space="0" w:color="auto"/>
            </w:tcBorders>
            <w:shd w:val="clear" w:color="auto" w:fill="auto"/>
          </w:tcPr>
          <w:p w:rsidR="00057F6E" w:rsidRPr="00531778" w:rsidRDefault="00AC648C" w:rsidP="00470C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Unit</w:t>
            </w:r>
          </w:p>
        </w:tc>
        <w:tc>
          <w:tcPr>
            <w:tcW w:w="4082" w:type="dxa"/>
            <w:tcBorders>
              <w:top w:val="single" w:sz="4" w:space="0" w:color="auto"/>
              <w:left w:val="none" w:sz="0" w:space="0" w:color="auto"/>
              <w:bottom w:val="single" w:sz="4" w:space="0" w:color="auto"/>
              <w:right w:val="none" w:sz="0" w:space="0" w:color="auto"/>
            </w:tcBorders>
            <w:shd w:val="clear" w:color="auto" w:fill="auto"/>
          </w:tcPr>
          <w:p w:rsidR="00057F6E" w:rsidRPr="00531778" w:rsidRDefault="00AC648C" w:rsidP="00470C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Ecological interpretation</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single" w:sz="4"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Class Area</w:t>
            </w:r>
          </w:p>
        </w:tc>
        <w:tc>
          <w:tcPr>
            <w:tcW w:w="1237" w:type="dxa"/>
            <w:tcBorders>
              <w:top w:val="single" w:sz="4"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CA</w:t>
            </w:r>
          </w:p>
        </w:tc>
        <w:tc>
          <w:tcPr>
            <w:tcW w:w="1984" w:type="dxa"/>
            <w:tcBorders>
              <w:top w:val="single" w:sz="4"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Hectares (ha)</w:t>
            </w:r>
          </w:p>
        </w:tc>
        <w:tc>
          <w:tcPr>
            <w:tcW w:w="4082" w:type="dxa"/>
            <w:tcBorders>
              <w:top w:val="single" w:sz="4"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Total habitat amount (absolute extent of the focal class). Primary indicator of habitat loss at the landscape scale.</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Percentage of Landscape</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PLAND</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Percentage (%)</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Proportional cover of the focal class within the Effective Habitat Area. Standard measure of habitat amount, central to the Habitat Amount Hypothesis (Fahrig, 2013).</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Number of Patches</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NP</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Count</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Total number of discrete patches of the focal class within the EHA. Higher values denote stronger subdivision of habitat, and in fragmented landscapes function as a measure of stepping-stone availability.</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Patch Density</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PD</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Number of patches per 100 ha (n/100 ha)</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Number of patches standardised by landscape area, permitting comparison among SUs of different sizes. Captures fragmentation per se when sample units differ in extent.</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Mean Patch Area</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Mean_AREA</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Hectares (ha)</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Average patch size. Directly relates to the area requirements of forest-dependent species and to the magnitude of edge effects.</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Largest Patch Index</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LPI</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Percentage (%)</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Percentage of the total landscape area comprised by the single largest patch of the focal class. Indicator of dominance of a core forest remnant.</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Edge Density</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ED</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Metres of edge per hectare (m/ha)</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Total length of edge segments of the focal class per landscape unit area. Higher values denote increased exposure of forest interior to the surrounding matrix.</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Mean Fractal Dimension Index</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Mean_FRAC</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Dimensionless (1-2)</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Shape complexity of patch boundaries. Values approaching 2 indicate highly convoluted shapes and elevated edge-to-interior ratios.</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Mean Euclidean Nearest-Neighbour Distance</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Mean_ENN</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Metres (m)</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Average distance from each patch to its nearest neighbour of the same class. Inverse indicator of structural connectivity.</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Mean Proximity Index</w:t>
            </w:r>
          </w:p>
        </w:tc>
        <w:tc>
          <w:tcPr>
            <w:tcW w:w="1237"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PROX_MN</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Dimensionless</w:t>
            </w:r>
          </w:p>
        </w:tc>
        <w:tc>
          <w:tcPr>
            <w:tcW w:w="4082"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Aggregation and proximity of patches within a species-specific search radius (28,230 m, see below). Lower values indicate higher patch isolation.</w:t>
            </w:r>
          </w:p>
        </w:tc>
      </w:tr>
    </w:tbl>
    <w:p w:rsidR="00057F6E" w:rsidRPr="00470C5F" w:rsidRDefault="00AC648C" w:rsidP="00470C5F">
      <w:pPr>
        <w:spacing w:before="200" w:after="80"/>
        <w:jc w:val="both"/>
        <w:rPr>
          <w:rFonts w:ascii="Times New Roman" w:hAnsi="Times New Roman" w:cs="Times New Roman"/>
        </w:rPr>
      </w:pPr>
      <w:r w:rsidRPr="00470C5F">
        <w:rPr>
          <w:rFonts w:ascii="Times New Roman" w:hAnsi="Times New Roman" w:cs="Times New Roman"/>
        </w:rPr>
        <w:t>1.2.1 Technical Notes on Metric Calculation</w:t>
      </w:r>
    </w:p>
    <w:p w:rsidR="00057F6E" w:rsidRPr="00AC648C" w:rsidRDefault="00AC648C" w:rsidP="00AC648C">
      <w:pPr>
        <w:spacing w:after="80" w:line="360" w:lineRule="auto"/>
        <w:jc w:val="both"/>
        <w:rPr>
          <w:rFonts w:ascii="Times New Roman" w:hAnsi="Times New Roman" w:cs="Times New Roman"/>
          <w:sz w:val="24"/>
          <w:szCs w:val="24"/>
        </w:rPr>
      </w:pPr>
      <w:r w:rsidRPr="00AC648C">
        <w:rPr>
          <w:rFonts w:ascii="Times New Roman" w:hAnsi="Times New Roman" w:cs="Times New Roman"/>
          <w:sz w:val="24"/>
          <w:szCs w:val="24"/>
        </w:rPr>
        <w:t>Mean Euclidean Nearest-Neighbour Distance (Mean_ENN). The ENN calculation considered the 30 m spatial resolution of the MapBiomas raster and an 8-neighbour rule for cell connectivity. Under this configuration, the minimum possible ENN value between two non-adjacent fragments is approximately 42.43 m, corresponding to the shortest diagonal connection. Values approaching this minimum indicate maximal proximity between habitat patches.</w:t>
      </w:r>
    </w:p>
    <w:p w:rsidR="00057F6E" w:rsidRPr="00AC648C" w:rsidRDefault="00AC648C" w:rsidP="00AC648C">
      <w:pPr>
        <w:spacing w:after="80" w:line="360" w:lineRule="auto"/>
        <w:jc w:val="both"/>
        <w:rPr>
          <w:rFonts w:ascii="Times New Roman" w:hAnsi="Times New Roman" w:cs="Times New Roman"/>
          <w:sz w:val="24"/>
          <w:szCs w:val="24"/>
        </w:rPr>
      </w:pPr>
      <w:r w:rsidRPr="00AC648C">
        <w:rPr>
          <w:rFonts w:ascii="Times New Roman" w:hAnsi="Times New Roman" w:cs="Times New Roman"/>
          <w:sz w:val="24"/>
          <w:szCs w:val="24"/>
        </w:rPr>
        <w:lastRenderedPageBreak/>
        <w:t>Mean Proximity Index (PROX_MN). To define an ecologically meaningful search radius for the PROX, we estimated the maximum dispersal distance (d) of each focal taxon following the isometric relationship of Bowman et al. (2002), d = 40 × √A, where A is the home range area. Home range data were obtained from the HomeRange global database (Broekman et al., 2023). The mean of the resulting maximum dispersal distances across the focal taxa was 28,230 m, which was adopted as the PROX search radius. This radius reflects the functional connectivity scale relevant to medium and large-sized mammals crossing the fragmented matrix.</w:t>
      </w:r>
    </w:p>
    <w:p w:rsidR="00057F6E" w:rsidRPr="00470C5F" w:rsidRDefault="00AC648C" w:rsidP="00470C5F">
      <w:pPr>
        <w:spacing w:before="240" w:after="80"/>
        <w:jc w:val="both"/>
        <w:rPr>
          <w:rFonts w:ascii="Times New Roman" w:hAnsi="Times New Roman" w:cs="Times New Roman"/>
        </w:rPr>
      </w:pPr>
      <w:r w:rsidRPr="00470C5F">
        <w:rPr>
          <w:rFonts w:ascii="Times New Roman" w:hAnsi="Times New Roman" w:cs="Times New Roman"/>
          <w:b/>
          <w:sz w:val="24"/>
        </w:rPr>
        <w:t>1.3 Collinearity Diagnostics (Section 2.6.1 of the manuscript)</w:t>
      </w:r>
    </w:p>
    <w:p w:rsidR="00057F6E" w:rsidRPr="00AC648C" w:rsidRDefault="00AC648C" w:rsidP="00AC648C">
      <w:pPr>
        <w:spacing w:after="80" w:line="360" w:lineRule="auto"/>
        <w:jc w:val="both"/>
        <w:rPr>
          <w:rFonts w:ascii="Times New Roman" w:hAnsi="Times New Roman" w:cs="Times New Roman"/>
          <w:sz w:val="24"/>
          <w:szCs w:val="24"/>
        </w:rPr>
      </w:pPr>
      <w:r w:rsidRPr="00AC648C">
        <w:rPr>
          <w:rFonts w:ascii="Times New Roman" w:hAnsi="Times New Roman" w:cs="Times New Roman"/>
          <w:sz w:val="24"/>
          <w:szCs w:val="24"/>
        </w:rPr>
        <w:t>Collinearity among landscape and socio-environmental predictors was evaluated using a two-stage procedure. First, the Pearson correlation matrix among all candidate predictors was inspected, and pairwise coefficients with absolute values above 0.7 were flagged (Figure S1). Second, the Variance Inflation Factor (VIF) was computed using the car package (Fox &amp; Weisberg, 2019), with a threshold of 5.0 used to identify variables introducing multicollinearity into the multivariable models (Table S3). On the basis of these diagnostics, the Largest Patch Index (LPI) was excluded from the univariate models because of extreme collinearity with the Percentage of Landscape (PLAND). LPI was nevertheless retained in the multivariate ordination space, since the envfit procedure evaluates each vector independently rather than within a joint linear model and because LPI and PLAND capture structurally distinct ecological signatures (dominance of a single core remnant versus proportional cover).</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S3. </w:t>
      </w:r>
      <w:r w:rsidRPr="00470C5F">
        <w:rPr>
          <w:rFonts w:ascii="Times New Roman" w:hAnsi="Times New Roman" w:cs="Times New Roman"/>
          <w:sz w:val="20"/>
        </w:rPr>
        <w:t>Variance Inflation Factor (VIF) values for all candidate landscape and socio-environmental predictors, sorted by descending VIF. A threshold of 5.0 was used to flag variables introducing multicollinearity into the multivariable models.</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5128"/>
        <w:gridCol w:w="1417"/>
        <w:gridCol w:w="3402"/>
      </w:tblGrid>
      <w:tr w:rsidR="00057F6E" w:rsidRPr="00470C5F" w:rsidTr="005317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Predictor</w:t>
            </w:r>
          </w:p>
        </w:tc>
        <w:tc>
          <w:tcPr>
            <w:tcW w:w="1417"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53177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VIF</w:t>
            </w:r>
          </w:p>
        </w:tc>
        <w:tc>
          <w:tcPr>
            <w:tcW w:w="3402"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53177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Status</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LPI</w:t>
            </w:r>
          </w:p>
        </w:tc>
        <w:tc>
          <w:tcPr>
            <w:tcW w:w="1417"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53.12</w:t>
            </w:r>
          </w:p>
        </w:tc>
        <w:tc>
          <w:tcPr>
            <w:tcW w:w="3402"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Excluded from univariate models (VIF &gt; 5)</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PLAND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48.79</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Excluded from univariate models (VIF &gt; 5)</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6.19</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Excluded from univariate models (VIF &gt; 5)</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4.23</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Retained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2.90</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Retained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2.30</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Retained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2.26</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Retained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PROX_MN</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1.96</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Retained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1.44</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Retained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1.43</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Retained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1.26</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Retained</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VIF threshold: 5.0. Only LPI and PLAND exceeded the threshold. LPI was excluded from the univariate GLMM/GLM framework but retained in the multivariate envfit (Section 2.6.2 of the manuscript). All other predictors presented VIF values well below 5 and were retained.</w:t>
      </w:r>
    </w:p>
    <w:p w:rsidR="00057F6E" w:rsidRPr="00470C5F" w:rsidRDefault="00AC648C" w:rsidP="00470C5F">
      <w:pPr>
        <w:spacing w:before="240" w:after="80"/>
        <w:jc w:val="both"/>
        <w:rPr>
          <w:rFonts w:ascii="Times New Roman" w:hAnsi="Times New Roman" w:cs="Times New Roman"/>
        </w:rPr>
      </w:pPr>
      <w:r w:rsidRPr="00470C5F">
        <w:rPr>
          <w:rFonts w:ascii="Times New Roman" w:hAnsi="Times New Roman" w:cs="Times New Roman"/>
          <w:b/>
          <w:sz w:val="24"/>
        </w:rPr>
        <w:lastRenderedPageBreak/>
        <w:t>1.4 Sample Sizes, Inclusion Rules and Model Diagnostics (Section 2.6.3 of the manuscript)</w:t>
      </w:r>
    </w:p>
    <w:p w:rsidR="00057F6E" w:rsidRPr="00470C5F" w:rsidRDefault="00AC648C" w:rsidP="00823010">
      <w:pPr>
        <w:spacing w:after="80" w:line="360" w:lineRule="auto"/>
        <w:jc w:val="both"/>
        <w:rPr>
          <w:rFonts w:ascii="Times New Roman" w:hAnsi="Times New Roman" w:cs="Times New Roman"/>
        </w:rPr>
      </w:pPr>
      <w:r w:rsidRPr="00823010">
        <w:rPr>
          <w:rFonts w:ascii="Times New Roman" w:hAnsi="Times New Roman" w:cs="Times New Roman"/>
          <w:sz w:val="24"/>
          <w:szCs w:val="24"/>
        </w:rPr>
        <w:t>Groups containing fewer than five sampling units were excluded from the univariate GLMM/GLM framework to preserve statistical stability. Table S4 reports the per-group sample sizes and the inclusion status of each taxonomic and functional group. The PERMANOVA framework (Section 2.6.2 of the manuscript) retained all original categories, since it does not impose per-group sample-size thresholds. Residual diagnostics for all</w:t>
      </w:r>
      <w:r w:rsidRPr="00470C5F">
        <w:rPr>
          <w:rFonts w:ascii="Times New Roman" w:hAnsi="Times New Roman" w:cs="Times New Roman"/>
        </w:rPr>
        <w:t xml:space="preserve"> retained GLMM/GLM models were obtained from simulation-based tests implemented in the DHARMa package (Hartig, 2022) and are summarised in Table S5.</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S4. </w:t>
      </w:r>
      <w:r w:rsidRPr="00470C5F">
        <w:rPr>
          <w:rFonts w:ascii="Times New Roman" w:hAnsi="Times New Roman" w:cs="Times New Roman"/>
          <w:sz w:val="20"/>
        </w:rPr>
        <w:t>Per-group sample sizes (number of Sampling Units, SU) and inclusion status in the univariate Generalized Linear (Mixed) Models. The total dataset comprises 65 SUs distributed across nine threatened taxa.</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10"/>
        <w:gridCol w:w="3685"/>
        <w:gridCol w:w="1020"/>
        <w:gridCol w:w="3231"/>
      </w:tblGrid>
      <w:tr w:rsidR="00057F6E" w:rsidRPr="00470C5F" w:rsidTr="005317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single" w:sz="4" w:space="0" w:color="auto"/>
              <w:left w:val="none" w:sz="0" w:space="0" w:color="auto"/>
              <w:bottom w:val="single" w:sz="4"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Category</w:t>
            </w:r>
          </w:p>
        </w:tc>
        <w:tc>
          <w:tcPr>
            <w:tcW w:w="3685" w:type="dxa"/>
            <w:tcBorders>
              <w:top w:val="single" w:sz="4" w:space="0" w:color="auto"/>
              <w:left w:val="none" w:sz="0" w:space="0" w:color="auto"/>
              <w:bottom w:val="single" w:sz="4" w:space="0" w:color="auto"/>
              <w:right w:val="none" w:sz="0" w:space="0" w:color="auto"/>
            </w:tcBorders>
            <w:shd w:val="clear" w:color="auto" w:fill="auto"/>
          </w:tcPr>
          <w:p w:rsidR="00057F6E" w:rsidRPr="00531778" w:rsidRDefault="00AC648C" w:rsidP="0053177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Group</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531778" w:rsidRDefault="00AC648C" w:rsidP="0053177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n (SU)</w:t>
            </w:r>
          </w:p>
        </w:tc>
        <w:tc>
          <w:tcPr>
            <w:tcW w:w="3231" w:type="dxa"/>
            <w:tcBorders>
              <w:top w:val="single" w:sz="4" w:space="0" w:color="auto"/>
              <w:left w:val="none" w:sz="0" w:space="0" w:color="auto"/>
              <w:bottom w:val="single" w:sz="4" w:space="0" w:color="auto"/>
              <w:right w:val="none" w:sz="0" w:space="0" w:color="auto"/>
            </w:tcBorders>
            <w:shd w:val="clear" w:color="auto" w:fill="auto"/>
          </w:tcPr>
          <w:p w:rsidR="00057F6E" w:rsidRPr="00531778" w:rsidRDefault="00AC648C" w:rsidP="00531778">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Status in univariate models</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single" w:sz="4"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Genus</w:t>
            </w:r>
          </w:p>
        </w:tc>
        <w:tc>
          <w:tcPr>
            <w:tcW w:w="3685" w:type="dxa"/>
            <w:tcBorders>
              <w:top w:val="single" w:sz="4"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Puma concolor</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12</w:t>
            </w:r>
          </w:p>
        </w:tc>
        <w:tc>
          <w:tcPr>
            <w:tcW w:w="3231" w:type="dxa"/>
            <w:tcBorders>
              <w:top w:val="single" w:sz="4"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Genus</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Alouatta guariba</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12</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Genus</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Brachyteles spp. (arachnoides + hypoxanthus)</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11</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Genus</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Mazama spp.</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10</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Genus</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Tayassu pecari</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7</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Genus</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Bradypus crinitus</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7</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Genus</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Leopardus wiedii</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6</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Genus</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Myrmecophaga tridactyla</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4</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Excluded (n &lt; 5)</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Diet</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Frugivore/Folivore (Fr/Fo)</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23</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Diet</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Carnivore (Ca)</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18</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Diet</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Herbivore/Frugivore (Hb/Fr)</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10</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Diet</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Frugivore/Omnivore (Fr/On)</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7</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Diet</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Folivore (Fo)</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5</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Excluded (redundant with Bradypus at genus level)</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Diet</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Myrmecophagous (Myr)</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4</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Excluded (n &lt; 5)</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Locomotion</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Terrestrial (Te)</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33</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rPr>
                <w:rFonts w:ascii="Times New Roman" w:hAnsi="Times New Roman" w:cs="Times New Roman"/>
                <w:sz w:val="20"/>
                <w:szCs w:val="20"/>
              </w:rPr>
            </w:pPr>
            <w:r w:rsidRPr="00531778">
              <w:rPr>
                <w:rFonts w:ascii="Times New Roman" w:hAnsi="Times New Roman" w:cs="Times New Roman"/>
                <w:sz w:val="20"/>
                <w:szCs w:val="20"/>
              </w:rPr>
              <w:t>Locomotion</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Arboreal (Ar)</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28</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531778">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r w:rsidR="00057F6E" w:rsidRPr="00470C5F" w:rsidTr="00531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rPr>
                <w:rFonts w:ascii="Times New Roman" w:hAnsi="Times New Roman" w:cs="Times New Roman"/>
                <w:sz w:val="20"/>
                <w:szCs w:val="20"/>
              </w:rPr>
            </w:pPr>
            <w:r w:rsidRPr="00531778">
              <w:rPr>
                <w:rFonts w:ascii="Times New Roman" w:hAnsi="Times New Roman" w:cs="Times New Roman"/>
                <w:sz w:val="20"/>
                <w:szCs w:val="20"/>
              </w:rPr>
              <w:t>Locomotion</w:t>
            </w:r>
          </w:p>
        </w:tc>
        <w:tc>
          <w:tcPr>
            <w:tcW w:w="3685"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Scansorial (Sc)</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6</w:t>
            </w:r>
          </w:p>
        </w:tc>
        <w:tc>
          <w:tcPr>
            <w:tcW w:w="3231" w:type="dxa"/>
            <w:tcBorders>
              <w:top w:val="none" w:sz="0" w:space="0" w:color="auto"/>
              <w:left w:val="none" w:sz="0" w:space="0" w:color="auto"/>
              <w:bottom w:val="none" w:sz="0" w:space="0" w:color="auto"/>
              <w:right w:val="none" w:sz="0" w:space="0" w:color="auto"/>
            </w:tcBorders>
            <w:shd w:val="clear" w:color="auto" w:fill="auto"/>
          </w:tcPr>
          <w:p w:rsidR="00057F6E" w:rsidRPr="00531778" w:rsidRDefault="00AC648C" w:rsidP="00470C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31778">
              <w:rPr>
                <w:rFonts w:ascii="Times New Roman" w:hAnsi="Times New Roman" w:cs="Times New Roman"/>
                <w:sz w:val="20"/>
                <w:szCs w:val="20"/>
              </w:rPr>
              <w:t>Included</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Genus-level sample sizes refer to the count of independent Sampling Units (EHA polygons) attributed to each genus. For Brachyteles, B. arachnoides and B. hypoxanthus contribute jointly to the genus-level model. The PERMANOVA framework retained all categories regardless of n.</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S5. </w:t>
      </w:r>
      <w:r w:rsidRPr="00470C5F">
        <w:rPr>
          <w:rFonts w:ascii="Times New Roman" w:hAnsi="Times New Roman" w:cs="Times New Roman"/>
          <w:sz w:val="20"/>
        </w:rPr>
        <w:t>DHARMa simulation-based residual diagnostics for the retained GLMM and GLM models. Tests evaluate dispersion, uniformity of scaled residuals (Kolmogorov-Smirnov), and the proportion of outliers, all at α = 0.05.</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832"/>
        <w:gridCol w:w="1247"/>
        <w:gridCol w:w="680"/>
        <w:gridCol w:w="1134"/>
        <w:gridCol w:w="1361"/>
        <w:gridCol w:w="1020"/>
        <w:gridCol w:w="1531"/>
      </w:tblGrid>
      <w:tr w:rsidR="00057F6E" w:rsidRPr="00470C5F" w:rsidTr="009462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727A87">
            <w:pPr>
              <w:spacing w:line="276" w:lineRule="auto"/>
              <w:rPr>
                <w:rFonts w:ascii="Times New Roman" w:hAnsi="Times New Roman" w:cs="Times New Roman"/>
                <w:sz w:val="20"/>
                <w:szCs w:val="20"/>
              </w:rPr>
            </w:pPr>
            <w:r w:rsidRPr="009462B3">
              <w:rPr>
                <w:rFonts w:ascii="Times New Roman" w:hAnsi="Times New Roman" w:cs="Times New Roman"/>
                <w:sz w:val="20"/>
                <w:szCs w:val="20"/>
              </w:rPr>
              <w:t>Category</w:t>
            </w:r>
          </w:p>
        </w:tc>
        <w:tc>
          <w:tcPr>
            <w:tcW w:w="1247"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Group</w:t>
            </w:r>
          </w:p>
        </w:tc>
        <w:tc>
          <w:tcPr>
            <w:tcW w:w="680"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n</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Dispersion p</w:t>
            </w:r>
          </w:p>
        </w:tc>
        <w:tc>
          <w:tcPr>
            <w:tcW w:w="1361"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Uniformity p (KS)</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Outliers p</w:t>
            </w:r>
          </w:p>
        </w:tc>
        <w:tc>
          <w:tcPr>
            <w:tcW w:w="1531"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Diagnostic</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Genus</w:t>
            </w:r>
          </w:p>
        </w:tc>
        <w:tc>
          <w:tcPr>
            <w:tcW w:w="1247"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Puma</w:t>
            </w:r>
          </w:p>
        </w:tc>
        <w:tc>
          <w:tcPr>
            <w:tcW w:w="680"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12</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0.758</w:t>
            </w:r>
          </w:p>
        </w:tc>
        <w:tc>
          <w:tcPr>
            <w:tcW w:w="1361"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0.6651</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Genus</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Alouatta</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11</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0.132</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0.3394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Genus</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Mazama</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10</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0.342</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0.8977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Genus</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Brachyteles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10</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0.73</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0.6209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Genus</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Tayassu</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7</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0.916</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0.7738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Genus</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Leopardus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6</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0.85</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0.9756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Genus</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Bradypus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5</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0.772</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0.5929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Diet</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Fr/On</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7</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0.916</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0.7738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Diet</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Hb/Fr</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10</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0.342</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0.8977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lastRenderedPageBreak/>
              <w:t>Diet</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Ca</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18</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0.56</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0.8734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0.0354</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WARNING</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Diet</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Fr/Fo</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21</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0.69</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0.2266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Locomotion</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Ar</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26</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0.81</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0.2254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Locomotion</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Sc</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6</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0.85</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0.9756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1</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Locomotion</w:t>
            </w:r>
          </w:p>
        </w:tc>
        <w:tc>
          <w:tcPr>
            <w:tcW w:w="124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Te</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33</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0.114</w:t>
            </w:r>
          </w:p>
        </w:tc>
        <w:tc>
          <w:tcPr>
            <w:tcW w:w="136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0.4193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0.0639</w:t>
            </w:r>
          </w:p>
        </w:tc>
        <w:tc>
          <w:tcPr>
            <w:tcW w:w="153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OK</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OK: assumptions met at α = 0.05. WARNING: at least one test marginally violated (Carnivore diet had an outlier ratio slightly above the expected value). All other models satisfied the assumptions of dispersion, uniformity and outlier proportion under the Gamma error structure with log link.</w:t>
      </w:r>
    </w:p>
    <w:p w:rsidR="00057F6E" w:rsidRPr="00470C5F" w:rsidRDefault="00AC648C" w:rsidP="00470C5F">
      <w:pPr>
        <w:jc w:val="both"/>
        <w:rPr>
          <w:rFonts w:ascii="Times New Roman" w:hAnsi="Times New Roman" w:cs="Times New Roman"/>
        </w:rPr>
      </w:pPr>
      <w:r w:rsidRPr="00470C5F">
        <w:rPr>
          <w:rFonts w:ascii="Times New Roman" w:hAnsi="Times New Roman" w:cs="Times New Roman"/>
          <w:b/>
          <w:sz w:val="28"/>
        </w:rPr>
        <w:t>2. Results</w:t>
      </w:r>
    </w:p>
    <w:p w:rsidR="00057F6E" w:rsidRPr="00470C5F" w:rsidRDefault="00AC648C" w:rsidP="00470C5F">
      <w:pPr>
        <w:spacing w:before="240" w:after="80"/>
        <w:jc w:val="both"/>
        <w:rPr>
          <w:rFonts w:ascii="Times New Roman" w:hAnsi="Times New Roman" w:cs="Times New Roman"/>
        </w:rPr>
      </w:pPr>
      <w:r w:rsidRPr="00470C5F">
        <w:rPr>
          <w:rFonts w:ascii="Times New Roman" w:hAnsi="Times New Roman" w:cs="Times New Roman"/>
          <w:b/>
          <w:sz w:val="24"/>
        </w:rPr>
        <w:t>2.1 Landscape Structure in the Effective Habitat Areas (Section 4.1 of the manuscript)</w:t>
      </w:r>
    </w:p>
    <w:p w:rsidR="00057F6E" w:rsidRPr="00823010" w:rsidRDefault="00AC648C" w:rsidP="00823010">
      <w:pPr>
        <w:spacing w:after="80" w:line="360" w:lineRule="auto"/>
        <w:jc w:val="both"/>
        <w:rPr>
          <w:rFonts w:ascii="Times New Roman" w:hAnsi="Times New Roman" w:cs="Times New Roman"/>
          <w:sz w:val="24"/>
          <w:szCs w:val="24"/>
        </w:rPr>
      </w:pPr>
      <w:r w:rsidRPr="00823010">
        <w:rPr>
          <w:rFonts w:ascii="Times New Roman" w:hAnsi="Times New Roman" w:cs="Times New Roman"/>
          <w:sz w:val="24"/>
          <w:szCs w:val="24"/>
        </w:rPr>
        <w:t>The Non-metric Multidimensional Scaling (NMDS) ordination produced a stable two-dimensional representation of the landscape composition gradients across the Effective Habitat Areas of the focal taxa (stress = 0.089). Environmental vectors fitted onto the ordination space identified the configuration metrics most strongly aligned with the axes (Table S6). The homogeneity of multivariate dispersions was tested using the betadisper function, and the global PERMANOVA was complemented by post-hoc pairwise comparisons with False Discovery Rate (FDR) correction at the Genus, Species, Diet and Locomotion levels (Tables S7, S11, S12, S13).</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S6. </w:t>
      </w:r>
      <w:r w:rsidRPr="00470C5F">
        <w:rPr>
          <w:rFonts w:ascii="Times New Roman" w:hAnsi="Times New Roman" w:cs="Times New Roman"/>
          <w:sz w:val="20"/>
        </w:rPr>
        <w:t>Environmental vectors fitted onto the NMDS ordination of landscape composition (envfit). R² and p-values reported by envfit are independent goodness-of-fit measures between each vector and the ordination scores and are therefore not partitioned variance components; they may sum to more than one across vectors and should be interpreted as marginal associations.</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78"/>
        <w:gridCol w:w="1417"/>
        <w:gridCol w:w="1417"/>
        <w:gridCol w:w="1134"/>
        <w:gridCol w:w="1701"/>
      </w:tblGrid>
      <w:tr w:rsidR="00057F6E" w:rsidRPr="00470C5F" w:rsidTr="009462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Metric</w:t>
            </w:r>
          </w:p>
        </w:tc>
        <w:tc>
          <w:tcPr>
            <w:tcW w:w="1417"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9462B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NMDS1</w:t>
            </w:r>
          </w:p>
        </w:tc>
        <w:tc>
          <w:tcPr>
            <w:tcW w:w="1417"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9462B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NMDS2</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9462B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R²</w:t>
            </w:r>
          </w:p>
        </w:tc>
        <w:tc>
          <w:tcPr>
            <w:tcW w:w="1701" w:type="dxa"/>
            <w:tcBorders>
              <w:top w:val="single" w:sz="4" w:space="0" w:color="auto"/>
              <w:left w:val="none" w:sz="0" w:space="0" w:color="auto"/>
              <w:bottom w:val="single" w:sz="4" w:space="0" w:color="auto"/>
              <w:right w:val="none" w:sz="0" w:space="0" w:color="auto"/>
            </w:tcBorders>
            <w:shd w:val="clear" w:color="auto" w:fill="auto"/>
          </w:tcPr>
          <w:p w:rsidR="00057F6E" w:rsidRPr="009462B3" w:rsidRDefault="00AC648C" w:rsidP="009462B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p-value</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PLAND (%)</w:t>
            </w:r>
          </w:p>
        </w:tc>
        <w:tc>
          <w:tcPr>
            <w:tcW w:w="1417"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-0.084</w:t>
            </w:r>
          </w:p>
        </w:tc>
        <w:tc>
          <w:tcPr>
            <w:tcW w:w="1417"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-0.962</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0.932</w:t>
            </w:r>
          </w:p>
        </w:tc>
        <w:tc>
          <w:tcPr>
            <w:tcW w:w="1701" w:type="dxa"/>
            <w:tcBorders>
              <w:top w:val="single" w:sz="4"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0.0001 ***</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LPI (%)</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-0.042</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-0.925</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0.857</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0.0001 ***</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0.168</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0.707</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0.528</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0.0001 ***</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-0.179</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-0.621</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0.418</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0.0001 ***</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-0.124</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0.359</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0.144</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0.0081 **</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-0.057</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0.127</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0.019</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0.548</w:t>
            </w:r>
          </w:p>
        </w:tc>
      </w:tr>
      <w:tr w:rsidR="00057F6E" w:rsidRPr="00470C5F" w:rsidTr="009462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-0.098</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0.045</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0.012</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0.7038</w:t>
            </w:r>
          </w:p>
        </w:tc>
      </w:tr>
      <w:tr w:rsidR="00057F6E" w:rsidRPr="00470C5F" w:rsidTr="009462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8"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rPr>
                <w:rFonts w:ascii="Times New Roman" w:hAnsi="Times New Roman" w:cs="Times New Roman"/>
                <w:sz w:val="20"/>
                <w:szCs w:val="20"/>
              </w:rPr>
            </w:pPr>
            <w:r w:rsidRPr="009462B3">
              <w:rPr>
                <w:rFonts w:ascii="Times New Roman" w:hAnsi="Times New Roman" w:cs="Times New Roman"/>
                <w:sz w:val="20"/>
                <w:szCs w:val="20"/>
              </w:rPr>
              <w:t>Mean 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0.058</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-0.080</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0.010</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9462B3" w:rsidRDefault="00AC648C" w:rsidP="009462B3">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9462B3">
              <w:rPr>
                <w:rFonts w:ascii="Times New Roman" w:hAnsi="Times New Roman" w:cs="Times New Roman"/>
                <w:sz w:val="20"/>
                <w:szCs w:val="20"/>
              </w:rPr>
              <w:t>0.7358</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Significance codes: *** p &lt; 0.001; ** p &lt; 0.01; * p &lt; 0.05. p-values estimated from 9,999 permutations.</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S7. </w:t>
      </w:r>
      <w:r w:rsidRPr="00470C5F">
        <w:rPr>
          <w:rFonts w:ascii="Times New Roman" w:hAnsi="Times New Roman" w:cs="Times New Roman"/>
          <w:sz w:val="20"/>
        </w:rPr>
        <w:t>Pairwise PERMANOVA at the Genus level (Bray-Curtis dissimilarity, 9,999 permutations) with False Discovery Rate (FDR) correction.</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1134"/>
        <w:gridCol w:w="1020"/>
        <w:gridCol w:w="1417"/>
        <w:gridCol w:w="1814"/>
      </w:tblGrid>
      <w:tr w:rsidR="00057F6E" w:rsidRPr="00470C5F" w:rsidTr="00727A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Pair</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pseudo-F</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R²</w:t>
            </w:r>
          </w:p>
        </w:tc>
        <w:tc>
          <w:tcPr>
            <w:tcW w:w="1417"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p-value</w:t>
            </w:r>
          </w:p>
        </w:tc>
        <w:tc>
          <w:tcPr>
            <w:tcW w:w="1814"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p-adjusted (FDR)</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Alouatta vs Brachyteles</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7.029</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0.270</w:t>
            </w:r>
          </w:p>
        </w:tc>
        <w:tc>
          <w:tcPr>
            <w:tcW w:w="1417"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0.0011</w:t>
            </w:r>
          </w:p>
        </w:tc>
        <w:tc>
          <w:tcPr>
            <w:tcW w:w="1814"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0.0154 *</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Alouatta vs Bradypus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0.783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0.053</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0.5237</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0.6094</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Alouatta vs Leopardus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0.471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0.030</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0.7418</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0.7693</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Alouatta vs Myrmecophaga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0.750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0.054</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0.5441</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0.6094</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Alouatta vs Mazama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2.085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0.099</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0.1189</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0.2245</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Alouatta vs Puma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1.997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0.087</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0.1232</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0.2245</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Alouatta vs Tayassu</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2.998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0.158</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0.0306</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0.1224</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Brachyteles vs Bradypus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7.329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0.360</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0.0031</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0.0289 *</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Brachyteles vs Leopardus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5.954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0.298</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0.0050</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0.0350 *</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lastRenderedPageBreak/>
              <w:t>Brachyteles vs Myrmecophaga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3.248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0.213</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0.0301</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0.1224</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Brachyteles vs Mazama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2.019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0.101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0.1307</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0.2245</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Brachyteles vs Puma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7.836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0.281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0.0008</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0.0154 *</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Brachyteles vs Tayassu</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2.290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0.132</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0.0985</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0.2122</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Bradypus vs Leopardus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0.708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0.073</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0.6052</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0.6518</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Bradypus vs Myrmecophaga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3.155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0.311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0.0732</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0.1945</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Bradypus vs Mazama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2.846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0.180</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0.0654</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0.1945</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Bradypus vs Puma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0.284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0.019</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0.8193</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0.8193</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Bradypus vs Tayassu</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2.944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0.228</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0.0647</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0.1945</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Leopardus vs Myrmecophaga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1.258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0.136</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0.2880</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0.3840</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Leopardus vs Mazama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2.303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0.141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0.0845</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0.1972</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Leopardus vs Puma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1.231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0.071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0.3190</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0.4060</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Leopardus vs Tayassu</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2.490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0.185</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0.0764</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0.1945</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Myrmecophaga vs Mazama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0.966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0.074</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0.3891</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0.4737</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Myrmecophaga vs Puma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1.972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0.123</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0.1363</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0.2245</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Myrmecophaga vs Tayassu</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1.419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0.136</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0.2396</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0.3354</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Mazama vs Puma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3.665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0.155</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0.0223</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0.1224</w:t>
            </w:r>
          </w:p>
        </w:tc>
      </w:tr>
      <w:tr w:rsidR="00057F6E" w:rsidRPr="00470C5F"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Mazama vs Tayassu</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1.673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0.100</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0.1944</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0.2865</w:t>
            </w:r>
          </w:p>
        </w:tc>
      </w:tr>
      <w:tr w:rsidR="00057F6E" w:rsidRPr="00470C5F"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sz w:val="20"/>
                <w:szCs w:val="20"/>
              </w:rPr>
              <w:t>Puma vs Tayassu</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1.899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0.101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0.1566</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0.2436</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Significance code: * p-adjusted &lt; 0.05. Pairs involving Brachyteles versus Alouatta, Bradypus, Leopardus and Puma were the only contrasts that remained significant after FDR correction, indicating that the southern muriqui is the main driver of taxonomic divergence in landscape occupation.</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S8. </w:t>
      </w:r>
      <w:r w:rsidRPr="00470C5F">
        <w:rPr>
          <w:rFonts w:ascii="Times New Roman" w:hAnsi="Times New Roman" w:cs="Times New Roman"/>
          <w:sz w:val="20"/>
        </w:rPr>
        <w:t>Variation in forest cover (PLAND) within the Effective Habitat Areas of the focal taxa.</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77"/>
        <w:gridCol w:w="1984"/>
        <w:gridCol w:w="1984"/>
        <w:gridCol w:w="1701"/>
      </w:tblGrid>
      <w:tr w:rsidR="00057F6E" w:rsidRPr="00727A87" w:rsidTr="00727A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rPr>
                <w:rFonts w:ascii="Times New Roman" w:hAnsi="Times New Roman" w:cs="Times New Roman"/>
                <w:sz w:val="20"/>
                <w:szCs w:val="20"/>
              </w:rPr>
            </w:pPr>
            <w:r w:rsidRPr="00727A87">
              <w:rPr>
                <w:rFonts w:ascii="Times New Roman" w:hAnsi="Times New Roman" w:cs="Times New Roman"/>
                <w:sz w:val="20"/>
                <w:szCs w:val="20"/>
              </w:rPr>
              <w:t>Species</w:t>
            </w:r>
          </w:p>
        </w:tc>
        <w:tc>
          <w:tcPr>
            <w:tcW w:w="1984"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PLAND minimum (%)</w:t>
            </w:r>
          </w:p>
        </w:tc>
        <w:tc>
          <w:tcPr>
            <w:tcW w:w="1984"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PLAND maximum (%)</w:t>
            </w:r>
          </w:p>
        </w:tc>
        <w:tc>
          <w:tcPr>
            <w:tcW w:w="1701" w:type="dxa"/>
            <w:tcBorders>
              <w:top w:val="single" w:sz="4" w:space="0" w:color="auto"/>
              <w:left w:val="none" w:sz="0" w:space="0" w:color="auto"/>
              <w:bottom w:val="single" w:sz="4" w:space="0" w:color="auto"/>
              <w:right w:val="none" w:sz="0" w:space="0" w:color="auto"/>
            </w:tcBorders>
            <w:shd w:val="clear" w:color="auto" w:fill="auto"/>
          </w:tcPr>
          <w:p w:rsidR="00057F6E" w:rsidRPr="00727A87" w:rsidRDefault="00AC648C" w:rsidP="00727A8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PLAND mean (%)</w:t>
            </w:r>
          </w:p>
        </w:tc>
      </w:tr>
      <w:tr w:rsidR="00057F6E" w:rsidRPr="00727A87"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Alouatta guariba</w:t>
            </w:r>
          </w:p>
        </w:tc>
        <w:tc>
          <w:tcPr>
            <w:tcW w:w="1984"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4.51</w:t>
            </w:r>
          </w:p>
        </w:tc>
        <w:tc>
          <w:tcPr>
            <w:tcW w:w="1984"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87.24</w:t>
            </w:r>
          </w:p>
        </w:tc>
        <w:tc>
          <w:tcPr>
            <w:tcW w:w="1701" w:type="dxa"/>
            <w:tcBorders>
              <w:top w:val="single" w:sz="4"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34.52</w:t>
            </w:r>
          </w:p>
        </w:tc>
      </w:tr>
      <w:tr w:rsidR="00057F6E" w:rsidRPr="00727A87"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Brachyteles arachnoides</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20.38</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98.46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73.57</w:t>
            </w:r>
          </w:p>
        </w:tc>
      </w:tr>
      <w:tr w:rsidR="00057F6E" w:rsidRPr="00727A87"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Bradypus crinitus</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33.22</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80.16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53.96</w:t>
            </w:r>
          </w:p>
        </w:tc>
      </w:tr>
      <w:tr w:rsidR="00057F6E" w:rsidRPr="00727A87"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Brachyteles hypoxanthus</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25.94</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94.19</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60.06</w:t>
            </w:r>
          </w:p>
        </w:tc>
      </w:tr>
      <w:tr w:rsidR="00057F6E" w:rsidRPr="00727A87"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Leopardus wiedii</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4.23</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90.93</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52.62</w:t>
            </w:r>
          </w:p>
        </w:tc>
      </w:tr>
      <w:tr w:rsidR="00057F6E" w:rsidRPr="00727A87"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Myrmecophaga tridactyla</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27.18</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54.86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37.00</w:t>
            </w:r>
          </w:p>
        </w:tc>
      </w:tr>
      <w:tr w:rsidR="00057F6E" w:rsidRPr="00727A87"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Mazama spp.</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10.81</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95.53</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41.02</w:t>
            </w:r>
          </w:p>
        </w:tc>
      </w:tr>
      <w:tr w:rsidR="00057F6E" w:rsidRPr="00727A87" w:rsidTr="00727A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Puma concolor</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28.06</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97.77</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59.64</w:t>
            </w:r>
          </w:p>
        </w:tc>
      </w:tr>
      <w:tr w:rsidR="00057F6E" w:rsidRPr="00727A87" w:rsidTr="00727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77"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rPr>
                <w:rFonts w:ascii="Times New Roman" w:hAnsi="Times New Roman" w:cs="Times New Roman"/>
                <w:sz w:val="20"/>
                <w:szCs w:val="20"/>
              </w:rPr>
            </w:pPr>
            <w:r w:rsidRPr="00727A87">
              <w:rPr>
                <w:rFonts w:ascii="Times New Roman" w:hAnsi="Times New Roman" w:cs="Times New Roman"/>
                <w:i/>
                <w:sz w:val="20"/>
                <w:szCs w:val="20"/>
              </w:rPr>
              <w:t>Tayassu pecari</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30.26</w:t>
            </w:r>
          </w:p>
        </w:tc>
        <w:tc>
          <w:tcPr>
            <w:tcW w:w="1984"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97.73</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727A87" w:rsidRDefault="00AC648C" w:rsidP="00727A8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7A87">
              <w:rPr>
                <w:rFonts w:ascii="Times New Roman" w:hAnsi="Times New Roman" w:cs="Times New Roman"/>
                <w:sz w:val="20"/>
                <w:szCs w:val="20"/>
              </w:rPr>
              <w:t>63.21</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PLAND values quantify the proportion of forest cover within each Effective Habitat Area. Brachyteles arachnoides occupied EHAs with the highest mean forest cover, whereas Alouatta guariba and Leopardus wiedii persisted in landscapes with forest cover as low as 4.23%.</w:t>
      </w:r>
    </w:p>
    <w:p w:rsidR="00057F6E" w:rsidRPr="00470C5F" w:rsidRDefault="00AC648C" w:rsidP="00470C5F">
      <w:pPr>
        <w:spacing w:before="240" w:after="80"/>
        <w:jc w:val="both"/>
        <w:rPr>
          <w:rFonts w:ascii="Times New Roman" w:hAnsi="Times New Roman" w:cs="Times New Roman"/>
        </w:rPr>
      </w:pPr>
      <w:r w:rsidRPr="00470C5F">
        <w:rPr>
          <w:rFonts w:ascii="Times New Roman" w:hAnsi="Times New Roman" w:cs="Times New Roman"/>
          <w:b/>
          <w:sz w:val="24"/>
        </w:rPr>
        <w:t>2.2 Effects of Landscape and Socio-Environmental Predictors on the EHA (Section 4.2 of the manuscript)</w:t>
      </w:r>
    </w:p>
    <w:p w:rsidR="00057F6E" w:rsidRPr="00470C5F" w:rsidRDefault="00AC648C" w:rsidP="00823010">
      <w:pPr>
        <w:spacing w:after="80" w:line="360" w:lineRule="auto"/>
        <w:jc w:val="both"/>
        <w:rPr>
          <w:rFonts w:ascii="Times New Roman" w:hAnsi="Times New Roman" w:cs="Times New Roman"/>
        </w:rPr>
      </w:pPr>
      <w:r w:rsidRPr="00823010">
        <w:rPr>
          <w:rFonts w:ascii="Times New Roman" w:hAnsi="Times New Roman" w:cs="Times New Roman"/>
          <w:sz w:val="24"/>
          <w:szCs w:val="24"/>
        </w:rPr>
        <w:t>Generalized Linear Mixed Models (GLMMs) and reduced Generalized Linear Models (GLMs, for single-species groups or non-convergent cases) were fitted under an information-theoretic framework. Tables S9 and S10 present, respectively, the full set of competitive models (ΔAICc &lt; 2.0) and the relative importance of each predictor measured as the sum of Akaike weights (Σwᵢ) across all competitive models in which the variable appeared. Table S15 reports the three best-supported models per group for additional transparency</w:t>
      </w:r>
      <w:r w:rsidRPr="00470C5F">
        <w:rPr>
          <w:rFonts w:ascii="Times New Roman" w:hAnsi="Times New Roman" w:cs="Times New Roman"/>
        </w:rPr>
        <w:t>.</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lastRenderedPageBreak/>
        <w:t xml:space="preserve">Table S9. </w:t>
      </w:r>
      <w:r w:rsidRPr="00470C5F">
        <w:rPr>
          <w:rFonts w:ascii="Times New Roman" w:hAnsi="Times New Roman" w:cs="Times New Roman"/>
          <w:sz w:val="20"/>
        </w:rPr>
        <w:t>Full competitive model set (ΔAICc &lt; 2.0) for each genus and functional group. The response variable is the Effective Habitat Area (EHA, in hectares). All models used a Gamma error distribution with a log link function; species identity was included as a random intercept (1 | SPECIES) when more than one species was present in the group, otherwise a fixed-effects GLM was fitted.</w:t>
      </w:r>
    </w:p>
    <w:tbl>
      <w:tblPr>
        <w:tblStyle w:val="GradeClara-nfase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161"/>
        <w:gridCol w:w="683"/>
        <w:gridCol w:w="2551"/>
        <w:gridCol w:w="454"/>
        <w:gridCol w:w="1020"/>
        <w:gridCol w:w="1020"/>
        <w:gridCol w:w="850"/>
        <w:gridCol w:w="1020"/>
      </w:tblGrid>
      <w:tr w:rsidR="00BF1DFA" w:rsidRPr="00470C5F" w:rsidTr="00BF1D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Category</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Group</w:t>
            </w:r>
          </w:p>
        </w:tc>
        <w:tc>
          <w:tcPr>
            <w:tcW w:w="567"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Rank</w:t>
            </w:r>
          </w:p>
        </w:tc>
        <w:tc>
          <w:tcPr>
            <w:tcW w:w="2551"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Selected variables</w:t>
            </w:r>
          </w:p>
        </w:tc>
        <w:tc>
          <w:tcPr>
            <w:tcW w:w="454"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df</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LogLik</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AICc</w:t>
            </w:r>
          </w:p>
        </w:tc>
        <w:tc>
          <w:tcPr>
            <w:tcW w:w="850"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ΔAICc</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Akaike weight</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Puma</w:t>
            </w:r>
          </w:p>
        </w:tc>
        <w:tc>
          <w:tcPr>
            <w:tcW w:w="567"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PD_Forest</w:t>
            </w:r>
          </w:p>
        </w:tc>
        <w:tc>
          <w:tcPr>
            <w:tcW w:w="454"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-129.153</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272.021</w:t>
            </w:r>
          </w:p>
        </w:tc>
        <w:tc>
          <w:tcPr>
            <w:tcW w:w="850"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0.510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Puma</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PROX_MN_Forest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-129.193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272.100</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0.490</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Alouatta</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Mean_Pop_Density</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-130.969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271.367</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0.500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Alouatta</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 Null Model ~</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-133.488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272.475</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1.108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0.287</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Alouatta</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-131.822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273.072</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1.705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0.213</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Mazama</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PD_Forest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-93.584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203.167</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Brachyteles</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PLAND_Forest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-92.209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200.418</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0.539</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Brachyteles</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PD_Forest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-92.364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200.728</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0.311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0.461</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Tayassu</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Mean_Pop_Density</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-69.281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152.561</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0.636</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Tayassu</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 Null Model ~</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-73.340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153.680</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1.119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0.364</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Leopardus</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 Null Model ~</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-73.487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154.974</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Bradypus</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 Null Model ~</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-57.637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125.275</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0.592</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Bradypus</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-48.009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126.019</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0.744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0.408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Fr/On</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Mean_Pop_Density</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-69.281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152.561</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0.636</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Fr/On</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 Null Model ~</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-73.340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153.680</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1.119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0.364</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Hb/Fr</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PD_Forest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-93.584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203.167</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Ca</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PROX_MN_Forest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-201.326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417.652</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Fr/Fo</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-240.393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491.285</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-299.185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608.274</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0.447</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PROX_MN_Forest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-298.459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609.918</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1.644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0.196</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NP_Forest + PD_Forest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-298.546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610.091</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1.817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0.180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ED_Forest + NP_Forest</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-298.565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610.130</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1.856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0.177</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Sc</w:t>
            </w:r>
          </w:p>
        </w:tc>
        <w:tc>
          <w:tcPr>
            <w:tcW w:w="56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 Null Model ~</w:t>
            </w:r>
          </w:p>
        </w:tc>
        <w:tc>
          <w:tcPr>
            <w:tcW w:w="45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-73.487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154.974</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134"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Te</w:t>
            </w:r>
          </w:p>
        </w:tc>
        <w:tc>
          <w:tcPr>
            <w:tcW w:w="567"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w:t>
            </w:r>
          </w:p>
        </w:tc>
        <w:tc>
          <w:tcPr>
            <w:tcW w:w="2551"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Mean_ENN_Forest_m + NP_Forest + PD_Forest</w:t>
            </w:r>
          </w:p>
        </w:tc>
        <w:tc>
          <w:tcPr>
            <w:tcW w:w="454"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w:t>
            </w:r>
          </w:p>
        </w:tc>
        <w:tc>
          <w:tcPr>
            <w:tcW w:w="1020"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-343.387</w:t>
            </w:r>
          </w:p>
        </w:tc>
        <w:tc>
          <w:tcPr>
            <w:tcW w:w="1020"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702.004</w:t>
            </w:r>
          </w:p>
        </w:tc>
        <w:tc>
          <w:tcPr>
            <w:tcW w:w="850"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0.000</w:t>
            </w:r>
          </w:p>
        </w:tc>
        <w:tc>
          <w:tcPr>
            <w:tcW w:w="1020" w:type="dxa"/>
            <w:tcBorders>
              <w:top w:val="none" w:sz="0"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Variables: NP_Forest = Number of Patches; PD_Forest = Patch Density; PLAND_Forest = Percentage of Forest Landscape; PROX_MN_Forest = Mean Proximity Index; Mean_ENN_Forest_m = Mean Euclidean Nearest-Neighbour Distance; ED_Forest = Edge Density; Mean_Pop_Density = Human Population Density.</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S10. </w:t>
      </w:r>
      <w:r w:rsidRPr="00470C5F">
        <w:rPr>
          <w:rFonts w:ascii="Times New Roman" w:hAnsi="Times New Roman" w:cs="Times New Roman"/>
          <w:sz w:val="20"/>
        </w:rPr>
        <w:t>Relative importance (sum of Akaike weights, Σwᵢ) of each predictor for each genus, diet and locomotion category. Predictors are listed in descending order of Σwᵢ within each group; only predictors with Σwᵢ &gt; 0.01 are shown for clarity. Full numerical values are available in the project repository.</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
        <w:gridCol w:w="3994"/>
        <w:gridCol w:w="1701"/>
        <w:gridCol w:w="2835"/>
        <w:gridCol w:w="1417"/>
      </w:tblGrid>
      <w:tr w:rsidR="00057F6E" w:rsidRPr="00470C5F" w:rsidTr="00BF1DFA">
        <w:trPr>
          <w:gridBefore w:val="1"/>
          <w:cnfStyle w:val="100000000000" w:firstRow="1" w:lastRow="0" w:firstColumn="0" w:lastColumn="0" w:oddVBand="0" w:evenVBand="0" w:oddHBand="0"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Category</w:t>
            </w:r>
          </w:p>
        </w:tc>
        <w:tc>
          <w:tcPr>
            <w:tcW w:w="1701"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Group</w:t>
            </w:r>
          </w:p>
        </w:tc>
        <w:tc>
          <w:tcPr>
            <w:tcW w:w="2835"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Predictor</w:t>
            </w:r>
          </w:p>
        </w:tc>
        <w:tc>
          <w:tcPr>
            <w:tcW w:w="1417"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Σwᵢ</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701"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Puma</w:t>
            </w:r>
          </w:p>
        </w:tc>
        <w:tc>
          <w:tcPr>
            <w:tcW w:w="2835"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0.965</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0.386</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0.384</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PLAND (%)</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0.110</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0.040</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0.015</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0.012</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Alouatta</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0.429</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0.181</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PLAND (%)</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0.125</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0.085</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0.084</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0.073</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0.069</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0.064</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0.064</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0.058</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Mazama</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0.999</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Brachyteles</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0.950</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PLAND (%)</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0.471</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0.403</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0.123</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0.036</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Tayassu</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0.490</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0.116</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0.048</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0.038</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0.024</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0.017</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0.015</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PLAND (%)</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0.013</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0.011</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Bradypus</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0.408</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Leopardus</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0.026</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0.024</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0.016</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0.012</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0.010</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Fr/Fo</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0.666</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0.198</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PLAND (%)</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0.130</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0.100</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0.100</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0.085</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0.084</w:t>
            </w:r>
          </w:p>
        </w:tc>
      </w:tr>
      <w:tr w:rsidR="00057F6E" w:rsidRPr="00470C5F" w:rsidTr="00BF1DFA">
        <w:trPr>
          <w:gridBefore w:val="1"/>
          <w:cnfStyle w:val="000000100000" w:firstRow="0" w:lastRow="0" w:firstColumn="0" w:lastColumn="0" w:oddVBand="0" w:evenVBand="0" w:oddHBand="1" w:evenHBand="0"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0.078</w:t>
            </w:r>
          </w:p>
        </w:tc>
      </w:tr>
      <w:tr w:rsidR="00057F6E" w:rsidRPr="00470C5F" w:rsidTr="00BF1DFA">
        <w:trPr>
          <w:gridBefore w:val="1"/>
          <w:cnfStyle w:val="000000010000" w:firstRow="0" w:lastRow="0" w:firstColumn="0" w:lastColumn="0" w:oddVBand="0" w:evenVBand="0" w:oddHBand="0" w:evenHBand="1" w:firstRowFirstColumn="0" w:firstRowLastColumn="0" w:lastRowFirstColumn="0" w:lastRowLastColumn="0"/>
          <w:wBefore w:w="12" w:type="dxa"/>
          <w:jc w:val="center"/>
        </w:trPr>
        <w:tc>
          <w:tcPr>
            <w:cnfStyle w:val="001000000000" w:firstRow="0" w:lastRow="0" w:firstColumn="1" w:lastColumn="0" w:oddVBand="0" w:evenVBand="0" w:oddHBand="0" w:evenHBand="0" w:firstRowFirstColumn="0" w:firstRowLastColumn="0" w:lastRowFirstColumn="0" w:lastRowLastColumn="0"/>
            <w:tcW w:w="399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0.073</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0.071</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Ca</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0.999</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0.900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0.073</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0.015</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Hb/Fr</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0.999</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Fr/On</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0.490</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0.116</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0.048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0.038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0.024</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0.017</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0.015</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PLAND (%)</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0.013</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0.011</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0.848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0.162</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PROX</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0.112</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0.097</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0.091</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0.086</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PLAND (%)</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0.083</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0.069</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0.063</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Te</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1.000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PD</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0.999</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0.585</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AREA (ha)</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0.054</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0.051</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0.047</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Sc</w:t>
            </w: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NP</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0.026</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Elevation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0.024</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ENN (m)</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0.016</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FRAC</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0.012</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6" w:type="dxa"/>
            <w:gridSpan w:val="2"/>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rPr>
                <w:rFonts w:ascii="Times New Roman" w:hAnsi="Times New Roman" w:cs="Times New Roman"/>
                <w:sz w:val="20"/>
                <w:szCs w:val="20"/>
              </w:rPr>
            </w:pP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057F6E"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p>
        </w:tc>
        <w:tc>
          <w:tcPr>
            <w:tcW w:w="283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Pop. Density</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0.010</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Σwᵢ values approaching 1 denote consistently supported predictors across the competitive model set. NP = Number of Patches; PD = Patch Density; PLAND = Percentage of Forest Landscape; PROX = Mean Proximity Index; ENN = Mean Euclidean Nearest-Neighbour Distance; ED = Edge Density; FRAC = Mean Fractal Dimension; AREA = Mean Patch Area; Pop. Density = Human Population Density.</w:t>
      </w:r>
    </w:p>
    <w:p w:rsidR="00057F6E" w:rsidRPr="00470C5F" w:rsidRDefault="00AC648C" w:rsidP="00470C5F">
      <w:pPr>
        <w:jc w:val="both"/>
        <w:rPr>
          <w:rFonts w:ascii="Times New Roman" w:hAnsi="Times New Roman" w:cs="Times New Roman"/>
        </w:rPr>
      </w:pPr>
      <w:r w:rsidRPr="00470C5F">
        <w:rPr>
          <w:rFonts w:ascii="Times New Roman" w:hAnsi="Times New Roman" w:cs="Times New Roman"/>
        </w:rPr>
        <w:br/>
      </w:r>
      <w:r w:rsidRPr="00470C5F">
        <w:rPr>
          <w:rFonts w:ascii="Times New Roman" w:hAnsi="Times New Roman" w:cs="Times New Roman"/>
          <w:b/>
          <w:sz w:val="28"/>
        </w:rPr>
        <w:t>3. Additional Supporting Tables</w:t>
      </w:r>
    </w:p>
    <w:p w:rsidR="00057F6E" w:rsidRPr="00470C5F" w:rsidRDefault="00AC648C" w:rsidP="00823010">
      <w:pPr>
        <w:spacing w:after="80" w:line="360" w:lineRule="auto"/>
        <w:jc w:val="both"/>
        <w:rPr>
          <w:rFonts w:ascii="Times New Roman" w:hAnsi="Times New Roman" w:cs="Times New Roman"/>
          <w:sz w:val="24"/>
          <w:szCs w:val="24"/>
        </w:rPr>
      </w:pPr>
      <w:r w:rsidRPr="00470C5F">
        <w:rPr>
          <w:rFonts w:ascii="Times New Roman" w:hAnsi="Times New Roman" w:cs="Times New Roman"/>
          <w:sz w:val="24"/>
          <w:szCs w:val="24"/>
        </w:rPr>
        <w:t>The tables below complement those directly cited in the main manuscript. Table S11 reports the full betadisper results that support the assumption check of the global PERMANOVA presented as Table 1 in the manuscript. Tables S12 to S14 report pairwise PERMANOVA contrasts at the Species, Diet and Locomotion levels. Table S15 provides the top three competing models per group, ranked by ΔAICc.</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S11. </w:t>
      </w:r>
      <w:r w:rsidRPr="00470C5F">
        <w:rPr>
          <w:rFonts w:ascii="Times New Roman" w:hAnsi="Times New Roman" w:cs="Times New Roman"/>
          <w:sz w:val="20"/>
        </w:rPr>
        <w:t>Homogeneity of multivariate dispersions test (betadisper) for each grouping variable (Bray-Curtis dissimilarity). Heterogeneity of dispersions does not invalidate PERMANOVA but indicates that group differences may partly reflect variance heterogeneity rather than location shifts.</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1134"/>
        <w:gridCol w:w="680"/>
        <w:gridCol w:w="1020"/>
        <w:gridCol w:w="1134"/>
        <w:gridCol w:w="1020"/>
        <w:gridCol w:w="1134"/>
      </w:tblGrid>
      <w:tr w:rsidR="00057F6E" w:rsidRPr="00470C5F" w:rsidTr="00BF1D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Grouping</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Source</w:t>
            </w:r>
          </w:p>
        </w:tc>
        <w:tc>
          <w:tcPr>
            <w:tcW w:w="680"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Df</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Sum Sq</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Mean Sq</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F</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Pr(&gt;F)</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Groups</w:t>
            </w:r>
          </w:p>
        </w:tc>
        <w:tc>
          <w:tcPr>
            <w:tcW w:w="680"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7</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0.171</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0.0244</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1.844</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0.0964</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Genus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Residuals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0.755</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0.0132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NA</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Species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Groups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0.179</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0.0223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1.764</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0.1040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Species</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Residuals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0.709</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0.0127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NA</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Diet</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Groups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0.229</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0.0458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4.163</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0.0026</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lastRenderedPageBreak/>
              <w:t>Diet</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Residuals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0.649</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0.0110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NA</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Groups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0.063</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0.0315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2.047</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0.1378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Locomotion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Residuals</w:t>
            </w:r>
          </w:p>
        </w:tc>
        <w:tc>
          <w:tcPr>
            <w:tcW w:w="68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0.954</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0.0154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NA</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Dispersions were homogeneous for Genus, Species and Locomotion (p &gt; 0.05). For Diet, dispersions were significantly heterogeneous (F = 4.16, p = 0.003), so the Diet-level PERMANOVA results in the main manuscript are reported with this caveat and the Diet-level pairwise tests in Table S13 should be regarded as exploratory.</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S12. </w:t>
      </w:r>
      <w:r w:rsidRPr="00470C5F">
        <w:rPr>
          <w:rFonts w:ascii="Times New Roman" w:hAnsi="Times New Roman" w:cs="Times New Roman"/>
          <w:sz w:val="20"/>
        </w:rPr>
        <w:t>Pairwise PERMANOVA at the Species level (Bray-Curtis dissimilarity, 9,999 permutations) with False Discovery Rate (FDR) correction. No species pair remained significant after FDR correction.</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1559"/>
        <w:gridCol w:w="1865"/>
        <w:gridCol w:w="1304"/>
        <w:gridCol w:w="1701"/>
      </w:tblGrid>
      <w:tr w:rsidR="00057F6E" w:rsidRPr="00470C5F" w:rsidTr="00BF1D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Pair</w:t>
            </w:r>
          </w:p>
        </w:tc>
        <w:tc>
          <w:tcPr>
            <w:tcW w:w="1559"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pseudo-F</w:t>
            </w:r>
          </w:p>
        </w:tc>
        <w:tc>
          <w:tcPr>
            <w:tcW w:w="1865"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R²</w:t>
            </w:r>
          </w:p>
        </w:tc>
        <w:tc>
          <w:tcPr>
            <w:tcW w:w="1304"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p-value</w:t>
            </w:r>
          </w:p>
        </w:tc>
        <w:tc>
          <w:tcPr>
            <w:tcW w:w="1701" w:type="dxa"/>
            <w:tcBorders>
              <w:top w:val="single" w:sz="4" w:space="0" w:color="auto"/>
              <w:left w:val="none" w:sz="0" w:space="0" w:color="auto"/>
              <w:bottom w:val="single" w:sz="4" w:space="0" w:color="auto"/>
              <w:right w:val="none" w:sz="0" w:space="0" w:color="auto"/>
            </w:tcBorders>
            <w:shd w:val="clear" w:color="auto" w:fill="auto"/>
          </w:tcPr>
          <w:p w:rsidR="00057F6E" w:rsidRPr="00BF1DFA" w:rsidRDefault="00AC648C" w:rsidP="00BF1DF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p-adjusted (FDR)</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A. guariba vs B. arachnoides</w:t>
            </w:r>
          </w:p>
        </w:tc>
        <w:tc>
          <w:tcPr>
            <w:tcW w:w="1559"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5.570</w:t>
            </w:r>
          </w:p>
        </w:tc>
        <w:tc>
          <w:tcPr>
            <w:tcW w:w="1865"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0.247</w:t>
            </w:r>
          </w:p>
        </w:tc>
        <w:tc>
          <w:tcPr>
            <w:tcW w:w="1304"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0.0030</w:t>
            </w:r>
          </w:p>
        </w:tc>
        <w:tc>
          <w:tcPr>
            <w:tcW w:w="1701" w:type="dxa"/>
            <w:tcBorders>
              <w:top w:val="single" w:sz="4"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0.0864</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A. guariba vs B. crinitus</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0.783</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0.053</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0.5237</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0.5892</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A. guariba vs B. hypoxantus</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3.441</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0.238</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0.0534</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A. guariba vs L. wiedii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0.471</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0.030</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0.7418</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0.7630</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A. guariba vs M. tridactyla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0.750</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0.054</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0.5441</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0.5936</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A. guariba vs Mazama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2.085</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0.099</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0.1189</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0.2218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A. guariba vs P. concolor</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1.997</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0.087</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0.1232</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0.2218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A. guariba vs T. pecari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2.998</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0.158</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0.0306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0.1377</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arachnoides vs B. crinitus</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6.386</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0.367</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0.0092</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0.0864</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arachnoides vs B. hypoxantus</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1.234</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0.134</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0.2626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0.3521</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arachnoides vs L. wiedii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4.808</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0.286</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0.0120</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0.0864</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arachnoides vs M. tridactyla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2.952</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0.228</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0.0556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arachnoides vs Mazama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1.686</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0.095</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0.1882</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0.2916</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B. arachnoides vs P. concolor</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5.627</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0.238</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0.0063</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0.0864</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B. arachnoides vs T. pecari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1.410</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0.098</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0.2641</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0.3521</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crinitus vs B. hypoxantus</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7.837</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0.611</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0.0476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crinitus vs L. wiedii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0.708</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0.073</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0.6052</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0.6408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crinitus vs M. tridactyla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3.155</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0.311</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0.0732</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crinitus vs Mazama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2.846</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0.180</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0.0654</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B. crinitus vs P. concolor</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0.284</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0.019</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0.8193</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0.8193</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B. crinitus vs T. pecari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2.944</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0.228</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0.0647</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hypoxantus vs L. wiedii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3.220</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0.349</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0.0717</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B. hypoxantus vs M. tridactyla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3.832</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0.489</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0.0667</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B. hypoxantus vs Mazama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1.377</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0.121</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0.2865</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0.3575</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B. hypoxantus vs P. concolor</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6.592</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0.355</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0.0111</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0.0864</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B. hypoxantus vs T. pecari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3.654</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0.343</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0.0297</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0.1377</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L. wiedii vs M. tridactyla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1.258</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0.136</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0.2880</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0.3575</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L. wiedii vs Mazama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2.303</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0.141</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0.0845</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0.1690</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L. wiedii vs P. concolor</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1.231</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0.071</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0.3190</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0.3828</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L. wiedii vs T. pecari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2.490</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0.185</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0.0764</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0.1618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M. tridactyla vs Mazama</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0.966</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0.074</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0.3891</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0.4519</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M. tridactyla vs P. concolor</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1.972</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0.123</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0.1363</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0.2337</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M. tridactyla vs T. pecari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1.419</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0.136</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0.2396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0.3450</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Mazama vs P. concolor</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3.665</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0.155</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0.0223</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0.1338</w:t>
            </w:r>
          </w:p>
        </w:tc>
      </w:tr>
      <w:tr w:rsidR="00057F6E" w:rsidRPr="00470C5F" w:rsidTr="00BF1D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rPr>
            </w:pPr>
            <w:r w:rsidRPr="00BF1DFA">
              <w:rPr>
                <w:rFonts w:ascii="Times New Roman" w:hAnsi="Times New Roman" w:cs="Times New Roman"/>
                <w:sz w:val="20"/>
                <w:szCs w:val="20"/>
              </w:rPr>
              <w:t>Mazama vs T. pecari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1.673</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0.100</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0.1944</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0.2916</w:t>
            </w:r>
          </w:p>
        </w:tc>
      </w:tr>
      <w:tr w:rsidR="00057F6E" w:rsidRPr="00470C5F" w:rsidTr="00BF1D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6"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rPr>
                <w:rFonts w:ascii="Times New Roman" w:hAnsi="Times New Roman" w:cs="Times New Roman"/>
                <w:sz w:val="20"/>
                <w:szCs w:val="20"/>
                <w:lang w:val="pt-BR"/>
              </w:rPr>
            </w:pPr>
            <w:r w:rsidRPr="00BF1DFA">
              <w:rPr>
                <w:rFonts w:ascii="Times New Roman" w:hAnsi="Times New Roman" w:cs="Times New Roman"/>
                <w:sz w:val="20"/>
                <w:szCs w:val="20"/>
                <w:lang w:val="pt-BR"/>
              </w:rPr>
              <w:t>P. concolor vs T. pecari</w:t>
            </w:r>
          </w:p>
        </w:tc>
        <w:tc>
          <w:tcPr>
            <w:tcW w:w="1559"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1.899</w:t>
            </w:r>
          </w:p>
        </w:tc>
        <w:tc>
          <w:tcPr>
            <w:tcW w:w="1865"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0.101</w:t>
            </w:r>
          </w:p>
        </w:tc>
        <w:tc>
          <w:tcPr>
            <w:tcW w:w="1304"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0.1566</w:t>
            </w:r>
          </w:p>
        </w:tc>
        <w:tc>
          <w:tcPr>
            <w:tcW w:w="1701" w:type="dxa"/>
            <w:tcBorders>
              <w:top w:val="none" w:sz="0" w:space="0" w:color="auto"/>
              <w:left w:val="none" w:sz="0" w:space="0" w:color="auto"/>
              <w:bottom w:val="none" w:sz="0" w:space="0" w:color="auto"/>
              <w:right w:val="none" w:sz="0" w:space="0" w:color="auto"/>
            </w:tcBorders>
            <w:shd w:val="clear" w:color="auto" w:fill="auto"/>
          </w:tcPr>
          <w:p w:rsidR="00057F6E" w:rsidRPr="00BF1DFA" w:rsidRDefault="00AC648C" w:rsidP="00BF1DFA">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F1DFA">
              <w:rPr>
                <w:rFonts w:ascii="Times New Roman" w:hAnsi="Times New Roman" w:cs="Times New Roman"/>
                <w:sz w:val="20"/>
                <w:szCs w:val="20"/>
              </w:rPr>
              <w:t>0.2563</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Significance code: * p-adjusted &lt; 0.05. The absence of significant species-level contrasts after FDR correction is consistent with the genus-level pattern, where Brachyteles emerges as the main source of taxonomic divergence in landscape composition.</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lastRenderedPageBreak/>
        <w:t xml:space="preserve">Table S13. </w:t>
      </w:r>
      <w:r w:rsidRPr="00470C5F">
        <w:rPr>
          <w:rFonts w:ascii="Times New Roman" w:hAnsi="Times New Roman" w:cs="Times New Roman"/>
          <w:sz w:val="20"/>
        </w:rPr>
        <w:t>Pairwise PERMANOVA at the Diet level (Bray-Curtis dissimilarity, 9,999 permutations) with FDR correction. These contrasts should be regarded as exploratory in view of the heterogeneity of multivariate dispersions detected for Diet (see Table S11).</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1134"/>
        <w:gridCol w:w="1020"/>
        <w:gridCol w:w="1417"/>
        <w:gridCol w:w="1814"/>
      </w:tblGrid>
      <w:tr w:rsidR="00057F6E" w:rsidRPr="00470C5F" w:rsidTr="00075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Pair</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pseudo-F</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R²</w:t>
            </w:r>
          </w:p>
        </w:tc>
        <w:tc>
          <w:tcPr>
            <w:tcW w:w="1417"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p-value</w:t>
            </w:r>
          </w:p>
        </w:tc>
        <w:tc>
          <w:tcPr>
            <w:tcW w:w="1814"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p-adjusted (FDR)</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Fr/Fo vs Fo</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1.573</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0.061</w:t>
            </w:r>
          </w:p>
        </w:tc>
        <w:tc>
          <w:tcPr>
            <w:tcW w:w="1417"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0.1978</w:t>
            </w:r>
          </w:p>
        </w:tc>
        <w:tc>
          <w:tcPr>
            <w:tcW w:w="1814"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0.3594</w:t>
            </w:r>
          </w:p>
        </w:tc>
      </w:tr>
      <w:tr w:rsidR="00057F6E" w:rsidRPr="00470C5F" w:rsidTr="00075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Fr/Fo vs Ca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2.562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0.065</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0.0662</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0.2196</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Fr/Fo vs Myr</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0.451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0.019</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0.7180</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0.7693</w:t>
            </w:r>
          </w:p>
        </w:tc>
      </w:tr>
      <w:tr w:rsidR="00057F6E" w:rsidRPr="00470C5F" w:rsidTr="00075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Fr/Fo vs Hb/Fr</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0.551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0.019</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0.6487</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0.7485</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Fr/Fo vs Fr/On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0.821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0.031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0.4806</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0.6008</w:t>
            </w:r>
          </w:p>
        </w:tc>
      </w:tr>
      <w:tr w:rsidR="00057F6E" w:rsidRPr="00470C5F" w:rsidTr="00075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Fo vs Ca</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0.269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0.013</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0.8497</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0.8497</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Fo vs Myr</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3.155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0.311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0.0732</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0.2196</w:t>
            </w:r>
          </w:p>
        </w:tc>
      </w:tr>
      <w:tr w:rsidR="00057F6E" w:rsidRPr="00470C5F" w:rsidTr="00075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Fo vs Hb/Fr</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2.846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0.180</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0.0654</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0.2196</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Fo vs Fr/On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2.944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0.228</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0.0647</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0.2196</w:t>
            </w:r>
          </w:p>
        </w:tc>
      </w:tr>
      <w:tr w:rsidR="00057F6E" w:rsidRPr="00470C5F" w:rsidTr="00075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Ca vs Myr</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1.473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0.069</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0.2352</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0.3594</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Ca vs Hb/Fr</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3.922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0.131</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0.0140</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0.2100</w:t>
            </w:r>
          </w:p>
        </w:tc>
      </w:tr>
      <w:tr w:rsidR="00057F6E" w:rsidRPr="00470C5F" w:rsidTr="00075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Ca vs Fr/On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2.207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0.088</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0.1081</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0.2702</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Myr vs Hb/Fr</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0.966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0.074</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0.3891</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0.5306</w:t>
            </w:r>
          </w:p>
        </w:tc>
      </w:tr>
      <w:tr w:rsidR="00057F6E" w:rsidRPr="00470C5F" w:rsidTr="00075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Myr vs Fr/On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1.419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0.136</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0.2396</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0.3594</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Hb/Fr vs Fr/On</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1.673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0.100</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0.1944</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0.3594</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Diet categories: Fr/Fo = Frugivore/Folivore; Fo = Folivore; Ca = Carnivore; Myr = Myrmecophagous; Hb/Fr = Herbivore/Frugivore; Fr/On = Frugivore/Omnivore.</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S14. </w:t>
      </w:r>
      <w:r w:rsidRPr="00470C5F">
        <w:rPr>
          <w:rFonts w:ascii="Times New Roman" w:hAnsi="Times New Roman" w:cs="Times New Roman"/>
          <w:sz w:val="20"/>
        </w:rPr>
        <w:t>Pairwise PERMANOVA at the Locomotion level (Bray-Curtis dissimilarity, 9,999 permutations) with FDR correction.</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1134"/>
        <w:gridCol w:w="1020"/>
        <w:gridCol w:w="1417"/>
        <w:gridCol w:w="1814"/>
      </w:tblGrid>
      <w:tr w:rsidR="00057F6E" w:rsidRPr="00470C5F" w:rsidTr="00075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Pair</w:t>
            </w:r>
          </w:p>
        </w:tc>
        <w:tc>
          <w:tcPr>
            <w:tcW w:w="1134"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pseudo-F</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R²</w:t>
            </w:r>
          </w:p>
        </w:tc>
        <w:tc>
          <w:tcPr>
            <w:tcW w:w="1417"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p-value</w:t>
            </w:r>
          </w:p>
        </w:tc>
        <w:tc>
          <w:tcPr>
            <w:tcW w:w="1814"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p-adjusted (FDR)</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Ar vs Sc</w:t>
            </w:r>
          </w:p>
        </w:tc>
        <w:tc>
          <w:tcPr>
            <w:tcW w:w="1134"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1.527</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0.048</w:t>
            </w:r>
          </w:p>
        </w:tc>
        <w:tc>
          <w:tcPr>
            <w:tcW w:w="1417"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0.1976</w:t>
            </w:r>
          </w:p>
        </w:tc>
        <w:tc>
          <w:tcPr>
            <w:tcW w:w="1814"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0.2964</w:t>
            </w:r>
          </w:p>
        </w:tc>
      </w:tr>
      <w:tr w:rsidR="00057F6E" w:rsidRPr="00470C5F" w:rsidTr="00075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Ar vs Te</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0.307</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0.005</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0.8145</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0.8145</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Sc vs Te</w:t>
            </w:r>
          </w:p>
        </w:tc>
        <w:tc>
          <w:tcPr>
            <w:tcW w:w="113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2.349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0.060</w:t>
            </w:r>
          </w:p>
        </w:tc>
        <w:tc>
          <w:tcPr>
            <w:tcW w:w="1417"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0.0731</w:t>
            </w:r>
          </w:p>
        </w:tc>
        <w:tc>
          <w:tcPr>
            <w:tcW w:w="1814"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0.2193</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Locomotion categories: Ar = Arboreal; Sc = Scansorial; Te = Terrestrial. No pairwise contrast was significant after FDR correction, consistent with the non-significant global PERMANOVA for Locomotion (Table 1 of the manuscript).</w:t>
      </w:r>
    </w:p>
    <w:p w:rsidR="00057F6E" w:rsidRPr="00470C5F" w:rsidRDefault="00AC648C" w:rsidP="00470C5F">
      <w:pPr>
        <w:spacing w:before="200" w:after="40"/>
        <w:jc w:val="both"/>
        <w:rPr>
          <w:rFonts w:ascii="Times New Roman" w:hAnsi="Times New Roman" w:cs="Times New Roman"/>
        </w:rPr>
      </w:pPr>
      <w:r w:rsidRPr="00470C5F">
        <w:rPr>
          <w:rFonts w:ascii="Times New Roman" w:hAnsi="Times New Roman" w:cs="Times New Roman"/>
          <w:b/>
          <w:sz w:val="20"/>
        </w:rPr>
        <w:t xml:space="preserve">Table S15. </w:t>
      </w:r>
      <w:r w:rsidRPr="00470C5F">
        <w:rPr>
          <w:rFonts w:ascii="Times New Roman" w:hAnsi="Times New Roman" w:cs="Times New Roman"/>
          <w:sz w:val="20"/>
        </w:rPr>
        <w:t>Top three best-supported models per genus, ranked by ΔAICc. The full competitive set (ΔAICc &lt; 2.0) is reported in Table S9.</w:t>
      </w:r>
    </w:p>
    <w:tbl>
      <w:tblPr>
        <w:tblStyle w:val="GradeClara-nfase1"/>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8"/>
        <w:gridCol w:w="1928"/>
        <w:gridCol w:w="850"/>
        <w:gridCol w:w="1166"/>
        <w:gridCol w:w="1020"/>
        <w:gridCol w:w="510"/>
        <w:gridCol w:w="1020"/>
        <w:gridCol w:w="3402"/>
      </w:tblGrid>
      <w:tr w:rsidR="00057F6E" w:rsidRPr="00470C5F" w:rsidTr="00075124">
        <w:trPr>
          <w:gridBefore w:val="1"/>
          <w:cnfStyle w:val="100000000000" w:firstRow="1" w:lastRow="0" w:firstColumn="0" w:lastColumn="0" w:oddVBand="0" w:evenVBand="0" w:oddHBand="0"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Genus</w:t>
            </w:r>
          </w:p>
        </w:tc>
        <w:tc>
          <w:tcPr>
            <w:tcW w:w="850"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Rank</w:t>
            </w:r>
          </w:p>
        </w:tc>
        <w:tc>
          <w:tcPr>
            <w:tcW w:w="1166"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ΔAICc</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Akaike weight</w:t>
            </w:r>
          </w:p>
        </w:tc>
        <w:tc>
          <w:tcPr>
            <w:tcW w:w="510"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df</w:t>
            </w:r>
          </w:p>
        </w:tc>
        <w:tc>
          <w:tcPr>
            <w:tcW w:w="1020"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LogLik</w:t>
            </w:r>
          </w:p>
        </w:tc>
        <w:tc>
          <w:tcPr>
            <w:tcW w:w="3402" w:type="dxa"/>
            <w:tcBorders>
              <w:top w:val="single" w:sz="4" w:space="0" w:color="auto"/>
              <w:left w:val="none" w:sz="0" w:space="0" w:color="auto"/>
              <w:bottom w:val="single" w:sz="4" w:space="0" w:color="auto"/>
              <w:right w:val="none" w:sz="0" w:space="0" w:color="auto"/>
            </w:tcBorders>
            <w:shd w:val="clear" w:color="auto" w:fill="auto"/>
          </w:tcPr>
          <w:p w:rsidR="00057F6E" w:rsidRPr="00075124" w:rsidRDefault="00AC648C" w:rsidP="0007512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Selected variables</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Puma</w:t>
            </w:r>
          </w:p>
        </w:tc>
        <w:tc>
          <w:tcPr>
            <w:tcW w:w="850"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w:t>
            </w:r>
          </w:p>
        </w:tc>
        <w:tc>
          <w:tcPr>
            <w:tcW w:w="1166"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0.446</w:t>
            </w:r>
          </w:p>
        </w:tc>
        <w:tc>
          <w:tcPr>
            <w:tcW w:w="510"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-129.153</w:t>
            </w:r>
          </w:p>
        </w:tc>
        <w:tc>
          <w:tcPr>
            <w:tcW w:w="3402" w:type="dxa"/>
            <w:tcBorders>
              <w:top w:val="single" w:sz="4"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PD_Forest</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Puma</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0.079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0.428</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-129.193</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PROX_MN_Forest</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Puma</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2.528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0.126</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-130.418</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PLAND_Forest</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Alouatta</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0.500</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-130.969</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Mean_Pop_Density</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Alouatta</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1.108</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0.287</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-133.488</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 Null Model ~</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Alouatta</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1.705</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0.213</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-131.822</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Mazama</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0.999</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-93.584</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PD_Forest</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Mazama</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13.632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0.001</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-100.400</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PLAND_Forest</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Mazama</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22.691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-104.929</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PROX_MN_Forest</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Brachyteles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0.496</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-92.209</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PLAND_Forest</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Brachyteles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0.311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0.425</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-92.364</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PD_Forest</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Brachyteles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3.676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0.079</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-94.047</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 + PROX_MN_Forest</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Tayassu</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0.577</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-69.281</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Mean_Pop_Density</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Tayassu</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1.119</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0.330</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-73.340</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 Null Model ~</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Tayassu</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3.642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0.093</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-71.102</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Leopardus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0.946</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-73.487</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 Null Model ~</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lastRenderedPageBreak/>
              <w:t>Leopardus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7.002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0.029</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-71.988</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Leopardus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7.226</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0.026</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-72.100</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Mean_Elevation_m</w:t>
            </w:r>
          </w:p>
        </w:tc>
      </w:tr>
      <w:tr w:rsidR="00057F6E" w:rsidRPr="00470C5F" w:rsidTr="00075124">
        <w:trPr>
          <w:gridBefore w:val="1"/>
          <w:cnfStyle w:val="000000100000" w:firstRow="0" w:lastRow="0" w:firstColumn="0" w:lastColumn="0" w:oddVBand="0" w:evenVBand="0" w:oddHBand="1" w:evenHBand="0"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Bradypus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0.592</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-57.637</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 Null Model ~</w:t>
            </w:r>
          </w:p>
        </w:tc>
      </w:tr>
      <w:tr w:rsidR="00057F6E" w:rsidRPr="00470C5F" w:rsidTr="00075124">
        <w:trPr>
          <w:gridBefore w:val="1"/>
          <w:cnfStyle w:val="000000010000" w:firstRow="0" w:lastRow="0" w:firstColumn="0" w:lastColumn="0" w:oddVBand="0" w:evenVBand="0" w:oddHBand="0" w:evenHBand="1" w:firstRowFirstColumn="0" w:firstRowLastColumn="0" w:lastRowFirstColumn="0" w:lastRowLastColumn="0"/>
          <w:wBefore w:w="38" w:type="dxa"/>
          <w:jc w:val="center"/>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Bradypus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2</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0.744</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0.408</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-48.009</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NP_Forest</w:t>
            </w:r>
          </w:p>
        </w:tc>
      </w:tr>
      <w:tr w:rsidR="00057F6E" w:rsidRPr="00470C5F" w:rsidTr="00075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66" w:type="dxa"/>
            <w:gridSpan w:val="2"/>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rPr>
                <w:rFonts w:ascii="Times New Roman" w:hAnsi="Times New Roman" w:cs="Times New Roman"/>
                <w:sz w:val="20"/>
                <w:szCs w:val="20"/>
              </w:rPr>
            </w:pPr>
            <w:r w:rsidRPr="00075124">
              <w:rPr>
                <w:rFonts w:ascii="Times New Roman" w:hAnsi="Times New Roman" w:cs="Times New Roman"/>
                <w:sz w:val="20"/>
                <w:szCs w:val="20"/>
              </w:rPr>
              <w:t>Bradypus</w:t>
            </w:r>
          </w:p>
        </w:tc>
        <w:tc>
          <w:tcPr>
            <w:tcW w:w="85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166"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14.761</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0.000</w:t>
            </w:r>
          </w:p>
        </w:tc>
        <w:tc>
          <w:tcPr>
            <w:tcW w:w="51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3</w:t>
            </w:r>
          </w:p>
        </w:tc>
        <w:tc>
          <w:tcPr>
            <w:tcW w:w="1020"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-55.018</w:t>
            </w:r>
          </w:p>
        </w:tc>
        <w:tc>
          <w:tcPr>
            <w:tcW w:w="3402" w:type="dxa"/>
            <w:tcBorders>
              <w:top w:val="none" w:sz="0" w:space="0" w:color="auto"/>
              <w:left w:val="none" w:sz="0" w:space="0" w:color="auto"/>
              <w:bottom w:val="none" w:sz="0" w:space="0" w:color="auto"/>
              <w:right w:val="none" w:sz="0" w:space="0" w:color="auto"/>
            </w:tcBorders>
            <w:shd w:val="clear" w:color="auto" w:fill="auto"/>
          </w:tcPr>
          <w:p w:rsidR="00057F6E" w:rsidRPr="00075124" w:rsidRDefault="00AC648C" w:rsidP="000751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75124">
              <w:rPr>
                <w:rFonts w:ascii="Times New Roman" w:hAnsi="Times New Roman" w:cs="Times New Roman"/>
                <w:sz w:val="20"/>
                <w:szCs w:val="20"/>
              </w:rPr>
              <w:t>PD_Forest</w:t>
            </w:r>
          </w:p>
        </w:tc>
      </w:tr>
    </w:tbl>
    <w:p w:rsidR="00057F6E" w:rsidRPr="00470C5F" w:rsidRDefault="00AC648C" w:rsidP="00470C5F">
      <w:pPr>
        <w:spacing w:after="160"/>
        <w:jc w:val="both"/>
        <w:rPr>
          <w:rFonts w:ascii="Times New Roman" w:hAnsi="Times New Roman" w:cs="Times New Roman"/>
        </w:rPr>
      </w:pPr>
      <w:r w:rsidRPr="00470C5F">
        <w:rPr>
          <w:rFonts w:ascii="Times New Roman" w:hAnsi="Times New Roman" w:cs="Times New Roman"/>
          <w:b/>
          <w:i/>
          <w:sz w:val="18"/>
        </w:rPr>
        <w:t xml:space="preserve">Legend. </w:t>
      </w:r>
      <w:r w:rsidRPr="00470C5F">
        <w:rPr>
          <w:rFonts w:ascii="Times New Roman" w:hAnsi="Times New Roman" w:cs="Times New Roman"/>
          <w:i/>
          <w:sz w:val="18"/>
        </w:rPr>
        <w:t>The Akaike weight reported here is computed within the top-3 set and may differ from the weight reported in Table S9, which is computed within the competitive set (ΔAICc &lt; 2.0).</w:t>
      </w:r>
    </w:p>
    <w:p w:rsidR="00057F6E" w:rsidRPr="00470C5F" w:rsidRDefault="00AC648C" w:rsidP="00470C5F">
      <w:pPr>
        <w:spacing w:before="360" w:after="120"/>
        <w:jc w:val="both"/>
        <w:rPr>
          <w:rFonts w:ascii="Times New Roman" w:hAnsi="Times New Roman" w:cs="Times New Roman"/>
        </w:rPr>
      </w:pPr>
      <w:r w:rsidRPr="00470C5F">
        <w:rPr>
          <w:rFonts w:ascii="Times New Roman" w:hAnsi="Times New Roman" w:cs="Times New Roman"/>
          <w:b/>
          <w:sz w:val="28"/>
        </w:rPr>
        <w:t>4. References</w:t>
      </w:r>
    </w:p>
    <w:p w:rsidR="00057F6E" w:rsidRPr="00470C5F" w:rsidRDefault="00AC648C" w:rsidP="00470C5F">
      <w:pPr>
        <w:spacing w:after="80"/>
        <w:jc w:val="both"/>
        <w:rPr>
          <w:rFonts w:ascii="Times New Roman" w:hAnsi="Times New Roman" w:cs="Times New Roman"/>
          <w:sz w:val="24"/>
          <w:szCs w:val="24"/>
        </w:rPr>
      </w:pPr>
      <w:r w:rsidRPr="00470C5F">
        <w:rPr>
          <w:rFonts w:ascii="Times New Roman" w:hAnsi="Times New Roman" w:cs="Times New Roman"/>
          <w:sz w:val="24"/>
          <w:szCs w:val="24"/>
        </w:rPr>
        <w:t>The references listed below correspond to the works cited in this Supplementary Material. All references are also available in the main manuscript reference list, with the exception of those marked with an asterisk, which are cited only in the supplementary content.</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Bartón, K. (2010). MuMIn: Multi-Model Inference [R package]. CRAN. </w:t>
      </w:r>
      <w:hyperlink r:id="rId7" w:history="1">
        <w:r w:rsidR="004B56A3" w:rsidRPr="00B91B7D">
          <w:rPr>
            <w:rStyle w:val="Hyperlink"/>
            <w:rFonts w:ascii="Times New Roman" w:hAnsi="Times New Roman" w:cs="Times New Roman"/>
            <w:sz w:val="24"/>
            <w:szCs w:val="24"/>
          </w:rPr>
          <w:t>https://cran.r-project.org/package=MuMIn</w:t>
        </w:r>
      </w:hyperlink>
      <w:r w:rsidR="004B56A3">
        <w:rPr>
          <w:rFonts w:ascii="Times New Roman" w:hAnsi="Times New Roman" w:cs="Times New Roman"/>
          <w:sz w:val="24"/>
          <w:szCs w:val="24"/>
        </w:rPr>
        <w:t xml:space="preserve"> </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Bowman, J., Jaeger, J. A. G., &amp; Fahrig, L. (2002). Dispersal distance of mammals is proportional to home range size. Ecology, 83(7), 2049. </w:t>
      </w:r>
      <w:hyperlink r:id="rId8" w:history="1">
        <w:r w:rsidR="004B56A3" w:rsidRPr="00B91B7D">
          <w:rPr>
            <w:rStyle w:val="Hyperlink"/>
            <w:rFonts w:ascii="Times New Roman" w:hAnsi="Times New Roman" w:cs="Times New Roman"/>
            <w:sz w:val="24"/>
            <w:szCs w:val="24"/>
          </w:rPr>
          <w:t>https://doi.org/10.2307/3071786</w:t>
        </w:r>
      </w:hyperlink>
      <w:r w:rsidR="004B56A3">
        <w:rPr>
          <w:rFonts w:ascii="Times New Roman" w:hAnsi="Times New Roman" w:cs="Times New Roman"/>
          <w:sz w:val="24"/>
          <w:szCs w:val="24"/>
        </w:rPr>
        <w:t xml:space="preserve"> </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Broekman, M. J. E., Hoeks, S., Freriks, R., Langendoen, M. M., Runge, K. M., Savenco, E., ter Harmsel, R., Huijbregts, M. A. J., &amp; Tucker, M. A. (2023). HomeRange: A global database of mammalian home ranges. Global Ecology and Biogeography, 32(2), 198–205. </w:t>
      </w:r>
      <w:hyperlink r:id="rId9" w:history="1">
        <w:r w:rsidR="004B56A3" w:rsidRPr="00B91B7D">
          <w:rPr>
            <w:rStyle w:val="Hyperlink"/>
            <w:rFonts w:ascii="Times New Roman" w:hAnsi="Times New Roman" w:cs="Times New Roman"/>
            <w:sz w:val="24"/>
            <w:szCs w:val="24"/>
          </w:rPr>
          <w:t>https://doi.org/10.1111/geb.13625</w:t>
        </w:r>
      </w:hyperlink>
      <w:r w:rsidR="004B56A3">
        <w:rPr>
          <w:rFonts w:ascii="Times New Roman" w:hAnsi="Times New Roman" w:cs="Times New Roman"/>
          <w:sz w:val="24"/>
          <w:szCs w:val="24"/>
        </w:rPr>
        <w:t xml:space="preserve"> </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Burnham, K. P., &amp; Anderson, D. R. (2002). Model selection and multimodel inference: a practical information-theoretic approach (2nd ed.). Springer.* </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Fahrig, L. (2013). Rethinking patch size and isolation effects: the habitat amount hypothesis. Journal of Biogeography, 40(9), 1649–1663. </w:t>
      </w:r>
      <w:hyperlink r:id="rId10" w:history="1">
        <w:r w:rsidR="004B56A3" w:rsidRPr="00B91B7D">
          <w:rPr>
            <w:rStyle w:val="Hyperlink"/>
            <w:rFonts w:ascii="Times New Roman" w:hAnsi="Times New Roman" w:cs="Times New Roman"/>
            <w:sz w:val="24"/>
            <w:szCs w:val="24"/>
          </w:rPr>
          <w:t>https://doi.org/10.1111/jbi.12130</w:t>
        </w:r>
      </w:hyperlink>
      <w:r w:rsidR="004B56A3">
        <w:rPr>
          <w:rFonts w:ascii="Times New Roman" w:hAnsi="Times New Roman" w:cs="Times New Roman"/>
          <w:sz w:val="24"/>
          <w:szCs w:val="24"/>
        </w:rPr>
        <w:t xml:space="preserve"> </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Fox, J., &amp; Weisberg, S. (2019). An R Companion to Applied Regression (3rd ed.). Sage Publications.* </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Hartig, F. (2022). DHARMa: Residual Diagnostics for Hierarchical (Multi-Level/Mixed) Regression Models [R package, version 0.4.6]. CRAN. </w:t>
      </w:r>
      <w:hyperlink r:id="rId11" w:history="1">
        <w:r w:rsidR="004B56A3" w:rsidRPr="00B91B7D">
          <w:rPr>
            <w:rStyle w:val="Hyperlink"/>
            <w:rFonts w:ascii="Times New Roman" w:hAnsi="Times New Roman" w:cs="Times New Roman"/>
            <w:sz w:val="24"/>
            <w:szCs w:val="24"/>
          </w:rPr>
          <w:t>https://doi.org/10.32614/CRAN.package.DHARMa</w:t>
        </w:r>
      </w:hyperlink>
      <w:r w:rsidR="004B56A3">
        <w:rPr>
          <w:rFonts w:ascii="Times New Roman" w:hAnsi="Times New Roman" w:cs="Times New Roman"/>
          <w:sz w:val="24"/>
          <w:szCs w:val="24"/>
        </w:rPr>
        <w:t xml:space="preserve"> </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Hesselbarth, M. H. K., Sciaini, M., With, K. A., Wiegand, K., &amp; Nowosad, J. (2019). landscapemetrics: an open-source R tool to calculate landscape metrics. Ecography, 42(10), 1648–1657. </w:t>
      </w:r>
      <w:hyperlink r:id="rId12" w:history="1">
        <w:r w:rsidR="004B56A3" w:rsidRPr="00B91B7D">
          <w:rPr>
            <w:rStyle w:val="Hyperlink"/>
            <w:rFonts w:ascii="Times New Roman" w:hAnsi="Times New Roman" w:cs="Times New Roman"/>
            <w:sz w:val="24"/>
            <w:szCs w:val="24"/>
          </w:rPr>
          <w:t>https://doi.org/10.1111/ecog.04617</w:t>
        </w:r>
      </w:hyperlink>
      <w:r w:rsidR="004B56A3">
        <w:rPr>
          <w:rFonts w:ascii="Times New Roman" w:hAnsi="Times New Roman" w:cs="Times New Roman"/>
          <w:sz w:val="24"/>
          <w:szCs w:val="24"/>
        </w:rPr>
        <w:t xml:space="preserve"> </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MapBiomas. (2025). MapBiomas General Handbook – Algorithm Theoretical Basis Document (ATBD), Collection 10.1 [Data set]. MapBiomas.</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McGarigal, K. (2014). Landscape Pattern Metrics. In Wiley StatsRef: Statistics Reference Online. John Wiley &amp; Sons.</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McGarigal, K., Cushman, S. A., Neel, M. C., &amp; Ene, E. (2002). FRAGSTATS: Spatial pattern analysis program for categorical maps (Version 3.3) [Computer software]. University of Massachusetts, Amherst.</w:t>
      </w:r>
    </w:p>
    <w:p w:rsidR="00057F6E" w:rsidRPr="00470C5F" w:rsidRDefault="00AC648C" w:rsidP="00470C5F">
      <w:pPr>
        <w:spacing w:after="120"/>
        <w:jc w:val="both"/>
        <w:rPr>
          <w:rFonts w:ascii="Times New Roman" w:hAnsi="Times New Roman" w:cs="Times New Roman"/>
          <w:sz w:val="24"/>
          <w:szCs w:val="24"/>
        </w:rPr>
      </w:pPr>
      <w:r w:rsidRPr="00470C5F">
        <w:rPr>
          <w:rFonts w:ascii="Times New Roman" w:hAnsi="Times New Roman" w:cs="Times New Roman"/>
          <w:sz w:val="24"/>
          <w:szCs w:val="24"/>
        </w:rPr>
        <w:t xml:space="preserve">Souza, C. M., Jr., Z. Shimbo, J., Rosa, M. R., Parente, L. L., Alencar, A., Rudorff, B. F. T., … Azevedo, T. (2020). Reconstructing three decades of land use and land cover changes in Brazilian </w:t>
      </w:r>
      <w:r w:rsidRPr="00470C5F">
        <w:rPr>
          <w:rFonts w:ascii="Times New Roman" w:hAnsi="Times New Roman" w:cs="Times New Roman"/>
          <w:sz w:val="24"/>
          <w:szCs w:val="24"/>
        </w:rPr>
        <w:lastRenderedPageBreak/>
        <w:t xml:space="preserve">biomes with Landsat archive and Earth Engine. Remote Sensing, 12(17), 2735. </w:t>
      </w:r>
      <w:hyperlink r:id="rId13" w:history="1">
        <w:r w:rsidR="004B56A3" w:rsidRPr="00B91B7D">
          <w:rPr>
            <w:rStyle w:val="Hyperlink"/>
            <w:rFonts w:ascii="Times New Roman" w:hAnsi="Times New Roman" w:cs="Times New Roman"/>
            <w:sz w:val="24"/>
            <w:szCs w:val="24"/>
          </w:rPr>
          <w:t>https://doi.org/10.3390/rs12172735</w:t>
        </w:r>
      </w:hyperlink>
      <w:r w:rsidR="004B56A3">
        <w:rPr>
          <w:rFonts w:ascii="Times New Roman" w:hAnsi="Times New Roman" w:cs="Times New Roman"/>
          <w:sz w:val="24"/>
          <w:szCs w:val="24"/>
        </w:rPr>
        <w:t xml:space="preserve"> </w:t>
      </w:r>
    </w:p>
    <w:p w:rsidR="00057F6E" w:rsidRPr="00470C5F" w:rsidRDefault="00AC648C" w:rsidP="00470C5F">
      <w:pPr>
        <w:spacing w:before="160" w:after="80"/>
        <w:jc w:val="both"/>
        <w:rPr>
          <w:rFonts w:ascii="Times New Roman" w:hAnsi="Times New Roman" w:cs="Times New Roman"/>
        </w:rPr>
      </w:pPr>
      <w:r w:rsidRPr="00470C5F">
        <w:rPr>
          <w:rFonts w:ascii="Times New Roman" w:hAnsi="Times New Roman" w:cs="Times New Roman"/>
          <w:i/>
          <w:sz w:val="18"/>
        </w:rPr>
        <w:t>Asterisk (*) indicates a reference cited only in the Supplementary Material and not in the main manuscript reference list. We recommend that these two references be added to the main manuscript reference list, since they are also cited there (Section 2.6.1 for Fox &amp; Weisberg, 2019, and Section 2.6.</w:t>
      </w:r>
      <w:bookmarkStart w:id="0" w:name="_GoBack"/>
      <w:bookmarkEnd w:id="0"/>
      <w:r w:rsidRPr="00470C5F">
        <w:rPr>
          <w:rFonts w:ascii="Times New Roman" w:hAnsi="Times New Roman" w:cs="Times New Roman"/>
          <w:i/>
          <w:sz w:val="18"/>
        </w:rPr>
        <w:t>3 for Burnham &amp; Anderson, 2002), but currently appear only here.</w:t>
      </w:r>
    </w:p>
    <w:sectPr w:rsidR="00057F6E" w:rsidRPr="00470C5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F6E"/>
    <w:rsid w:val="0006063C"/>
    <w:rsid w:val="00075124"/>
    <w:rsid w:val="0015074B"/>
    <w:rsid w:val="0029639D"/>
    <w:rsid w:val="00326F90"/>
    <w:rsid w:val="00470C5F"/>
    <w:rsid w:val="004B56A3"/>
    <w:rsid w:val="00531778"/>
    <w:rsid w:val="00727A87"/>
    <w:rsid w:val="00823010"/>
    <w:rsid w:val="009462B3"/>
    <w:rsid w:val="00AA1D8D"/>
    <w:rsid w:val="00AC648C"/>
    <w:rsid w:val="00B47730"/>
    <w:rsid w:val="00BF1D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F24A0"/>
  <w14:defaultImageDpi w14:val="300"/>
  <w15:docId w15:val="{99B0060C-A073-438F-909F-23448200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4B56A3"/>
    <w:rPr>
      <w:color w:val="0000FF" w:themeColor="hyperlink"/>
      <w:u w:val="single"/>
    </w:rPr>
  </w:style>
  <w:style w:type="character" w:styleId="MenoPendente">
    <w:name w:val="Unresolved Mention"/>
    <w:basedOn w:val="Fontepargpadro"/>
    <w:uiPriority w:val="99"/>
    <w:semiHidden/>
    <w:unhideWhenUsed/>
    <w:rsid w:val="004B56A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3071786" TargetMode="External"/><Relationship Id="rId13" Type="http://schemas.openxmlformats.org/officeDocument/2006/relationships/hyperlink" Target="https://doi.org/10.3390/rs12172735" TargetMode="External"/><Relationship Id="rId3" Type="http://schemas.openxmlformats.org/officeDocument/2006/relationships/styles" Target="styles.xml"/><Relationship Id="rId7" Type="http://schemas.openxmlformats.org/officeDocument/2006/relationships/hyperlink" Target="https://cran.r-project.org/package=MuMIn" TargetMode="External"/><Relationship Id="rId12" Type="http://schemas.openxmlformats.org/officeDocument/2006/relationships/hyperlink" Target="https://doi.org/10.1111/ecog.0461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32614/CRAN.package.DHARM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11/jbi.12130" TargetMode="External"/><Relationship Id="rId4" Type="http://schemas.openxmlformats.org/officeDocument/2006/relationships/settings" Target="settings.xml"/><Relationship Id="rId9" Type="http://schemas.openxmlformats.org/officeDocument/2006/relationships/hyperlink" Target="https://doi.org/10.1111/geb.1362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F32D27-A997-47E6-89E4-2148B5878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4792</Words>
  <Characters>27319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Eduarda Machado Macedo Nacif</cp:lastModifiedBy>
  <cp:revision>10</cp:revision>
  <dcterms:created xsi:type="dcterms:W3CDTF">2013-12-23T23:15:00Z</dcterms:created>
  <dcterms:modified xsi:type="dcterms:W3CDTF">2026-05-17T11:29:00Z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90b9044a-4b93-4bc0-8be7-b6dbd894bf5d</vt:lpwstr>
  </property>
</Properties>
</file>