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976000" cy="1427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2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500" w:line="240" w:lineRule="auto"/>
        <w:ind w:firstLine="0"/>
        <w:jc w:val="center"/>
        <w:widowControl/>
        <w:pBdr>
          <w:bottom w:val="single" w:sz="6" w:space="1" w:color="000000"/>
        </w:pBdr>
      </w:pPr>
    </w:p>
    <w:p>
      <w:pPr>
        <w:spacing w:before="0" w:after="20" w:line="240" w:lineRule="auto"/>
        <w:ind w:firstLine="0"/>
        <w:jc w:val="left"/>
        <w:widowControl/>
      </w:pPr>
      <w:r>
        <w:rPr>
          <w:rFonts w:ascii="Times New Roman" w:hAnsi="Times New Roman" w:eastAsia="Times New Roman"/>
          <w:color w:val="000000"/>
          <w:sz w:val="24"/>
        </w:rPr>
        <w:t xml:space="preserve">Школа: </w:t>
      </w:r>
      <w:r>
        <w:rPr>
          <w:rFonts w:ascii="Times New Roman" w:hAnsi="Times New Roman" w:eastAsia="Times New Roman"/>
          <w:b/>
          <w:color w:val="000000"/>
          <w:sz w:val="24"/>
        </w:rPr>
        <w:t>Инженерная школа информационных технологий и робототехники</w:t>
      </w:r>
    </w:p>
    <w:p>
      <w:pPr>
        <w:spacing w:before="0" w:after="20" w:line="240" w:lineRule="auto"/>
        <w:ind w:firstLine="0"/>
        <w:jc w:val="left"/>
        <w:widowControl/>
      </w:pPr>
      <w:r>
        <w:rPr>
          <w:rFonts w:ascii="Times New Roman" w:hAnsi="Times New Roman" w:eastAsia="Times New Roman"/>
          <w:color w:val="000000"/>
          <w:sz w:val="24"/>
        </w:rPr>
        <w:t xml:space="preserve">Направление подготовки: </w:t>
      </w:r>
      <w:r>
        <w:rPr>
          <w:rFonts w:ascii="Times New Roman" w:hAnsi="Times New Roman" w:eastAsia="Times New Roman"/>
          <w:b/>
          <w:color w:val="000000"/>
          <w:sz w:val="24"/>
        </w:rPr>
        <w:t>09.04.01 Информатика и вычислительная техника</w:t>
      </w:r>
    </w:p>
    <w:p>
      <w:pPr>
        <w:spacing w:before="0" w:after="20" w:line="240" w:lineRule="auto"/>
        <w:ind w:firstLine="0"/>
        <w:jc w:val="left"/>
        <w:widowControl/>
      </w:pPr>
      <w:r>
        <w:rPr>
          <w:rFonts w:ascii="Times New Roman" w:hAnsi="Times New Roman" w:eastAsia="Times New Roman"/>
          <w:color w:val="000000"/>
          <w:sz w:val="24"/>
        </w:rPr>
        <w:t xml:space="preserve">Отделение школы (НОЦ): </w:t>
      </w:r>
      <w:r>
        <w:rPr>
          <w:rFonts w:ascii="Times New Roman" w:hAnsi="Times New Roman" w:eastAsia="Times New Roman"/>
          <w:b/>
          <w:color w:val="000000"/>
          <w:sz w:val="24"/>
        </w:rPr>
        <w:t>Отделение информационных технологий</w:t>
      </w:r>
    </w:p>
    <w:p>
      <w:pPr>
        <w:spacing w:after="440"/>
      </w:pPr>
    </w:p>
    <w:p>
      <w:pPr>
        <w:spacing w:before="0" w:after="40" w:line="240" w:lineRule="auto"/>
        <w:ind w:firstLine="0"/>
        <w:jc w:val="center"/>
        <w:widowControl/>
      </w:pPr>
      <w:r>
        <w:rPr>
          <w:rFonts w:ascii="Times New Roman" w:hAnsi="Times New Roman" w:eastAsia="Times New Roman"/>
          <w:b/>
          <w:color w:val="000000"/>
          <w:sz w:val="28"/>
        </w:rPr>
        <w:t>ЛАБОРАТОРНАЯ РАБОТА № 0</w:t>
      </w:r>
    </w:p>
    <w:p>
      <w:pPr>
        <w:spacing w:before="0" w:after="20" w:line="240" w:lineRule="auto"/>
        <w:ind w:firstLine="0"/>
        <w:jc w:val="center"/>
        <w:widowControl/>
      </w:pPr>
      <w:r>
        <w:rPr>
          <w:rFonts w:ascii="Times New Roman" w:hAnsi="Times New Roman" w:eastAsia="Times New Roman"/>
          <w:b w:val="0"/>
          <w:color w:val="000000"/>
          <w:sz w:val="24"/>
        </w:rPr>
        <w:t>по дисциплине</w:t>
      </w:r>
    </w:p>
    <w:p>
      <w:pPr>
        <w:spacing w:before="0" w:after="200" w:line="240" w:lineRule="auto"/>
        <w:ind w:firstLine="0"/>
        <w:jc w:val="center"/>
        <w:widowControl/>
      </w:pPr>
      <w:r>
        <w:rPr>
          <w:rFonts w:ascii="Times New Roman" w:hAnsi="Times New Roman" w:eastAsia="Times New Roman"/>
          <w:b/>
          <w:color w:val="000000"/>
          <w:sz w:val="28"/>
        </w:rPr>
        <w:t>Интеллектуальные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22"/>
      </w:tblGrid>
      <w:tr>
        <w:tc>
          <w:tcPr>
            <w:tcW w:type="dxa" w:w="94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Тема задания</w:t>
            </w:r>
          </w:p>
        </w:tc>
      </w:tr>
      <w:tr>
        <w:tc>
          <w:tcPr>
            <w:tcW w:type="dxa" w:w="94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Воспроизводимый эксперимент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0"/>
        <w:gridCol w:w="2480"/>
        <w:gridCol w:w="2480"/>
        <w:gridCol w:w="2480"/>
      </w:tblGrid>
      <w:tr>
        <w:tc>
          <w:tcPr>
            <w:tcW w:type="dxa" w:w="1474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Группа</w:t>
            </w:r>
          </w:p>
        </w:tc>
        <w:tc>
          <w:tcPr>
            <w:tcW w:type="dxa" w:w="4082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ФИО</w:t>
            </w:r>
          </w:p>
        </w:tc>
        <w:tc>
          <w:tcPr>
            <w:tcW w:type="dxa" w:w="1757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Подпись</w:t>
            </w:r>
          </w:p>
        </w:tc>
        <w:tc>
          <w:tcPr>
            <w:tcW w:type="dxa" w:w="1757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Дата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8ВМ63</w:t>
            </w:r>
          </w:p>
        </w:tc>
        <w:tc>
          <w:tcPr>
            <w:tcW w:type="dxa" w:w="4082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Грязнов Александр Евгеньевич</w:t>
            </w:r>
          </w:p>
        </w:tc>
        <w:tc>
          <w:tcPr>
            <w:tcW w:type="dxa" w:w="1757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1757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</w:tbl>
    <w:p>
      <w:pPr>
        <w:spacing w:after="140"/>
      </w:pPr>
    </w:p>
    <w:p>
      <w:pPr>
        <w:spacing w:before="0" w:after="80" w:line="259" w:lineRule="auto"/>
        <w:ind w:firstLine="0"/>
        <w:jc w:val="left"/>
        <w:widowControl/>
      </w:pPr>
      <w:r>
        <w:rPr>
          <w:rFonts w:ascii="Times New Roman" w:hAnsi="Times New Roman" w:eastAsia="Times New Roman"/>
          <w:color w:val="000000"/>
          <w:sz w:val="24"/>
        </w:rPr>
        <w:t>Преподаватель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531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Должность</w:t>
            </w:r>
          </w:p>
        </w:tc>
        <w:tc>
          <w:tcPr>
            <w:tcW w:type="dxa" w:w="2268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ФИО</w:t>
            </w:r>
          </w:p>
        </w:tc>
        <w:tc>
          <w:tcPr>
            <w:tcW w:type="dxa" w:w="2608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Учёная степень, звание</w:t>
            </w:r>
          </w:p>
        </w:tc>
        <w:tc>
          <w:tcPr>
            <w:tcW w:type="dxa" w:w="1417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Подпись</w:t>
            </w:r>
          </w:p>
        </w:tc>
        <w:tc>
          <w:tcPr>
            <w:tcW w:type="dxa" w:w="1304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Дата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Старший преподаватель</w:t>
            </w:r>
          </w:p>
        </w:tc>
        <w:tc>
          <w:tcPr>
            <w:tcW w:type="dxa" w:w="2268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Григорьев Дмитрий Сергеевич</w:t>
            </w:r>
          </w:p>
        </w:tc>
        <w:tc>
          <w:tcPr>
            <w:tcW w:type="dxa" w:w="2608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1304"/>
            <w:vAlign w:val="center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before="0" w:after="0" w:line="240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</w:tr>
    </w:tbl>
    <w:p>
      <w:pPr>
        <w:spacing w:after="560"/>
      </w:pPr>
    </w:p>
    <w:p>
      <w:pPr>
        <w:spacing w:before="0" w:after="0" w:line="240" w:lineRule="auto"/>
        <w:ind w:firstLine="0"/>
        <w:jc w:val="center"/>
        <w:widowControl/>
      </w:pPr>
      <w:r>
        <w:rPr>
          <w:rFonts w:ascii="Times New Roman" w:hAnsi="Times New Roman" w:eastAsia="Times New Roman"/>
          <w:color w:val="000000"/>
          <w:sz w:val="24"/>
        </w:rPr>
        <w:t>Томск – 2026 г.</w:t>
      </w:r>
    </w:p>
    <w:p>
      <w:r>
        <w:br w:type="page"/>
      </w:r>
    </w:p>
    <w:p>
      <w:pPr>
        <w:keepNext w:val="0"/>
        <w:widowControl/>
        <w:spacing w:before="0" w:after="40" w:line="259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Содержание</w:t>
      </w:r>
    </w:p>
    <w:p>
      <w:pPr>
        <w:keepNext/>
        <w:keepLines/>
        <w:widowControl/>
        <w:tabs>
          <w:tab w:pos="9865" w:val="right" w:leader="dot"/>
        </w:tabs>
        <w:spacing w:before="0" w:after="0" w:line="259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Введение</w:t>
        <w:tab/>
        <w:t>2</w:t>
      </w:r>
    </w:p>
    <w:p>
      <w:pPr>
        <w:keepNext/>
        <w:keepLines/>
        <w:widowControl/>
        <w:tabs>
          <w:tab w:pos="9865" w:val="right" w:leader="dot"/>
        </w:tabs>
        <w:spacing w:before="0" w:after="0" w:line="259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1. Методика и базовая серия</w:t>
        <w:tab/>
        <w:t>2</w:t>
      </w:r>
    </w:p>
    <w:p>
      <w:pPr>
        <w:keepNext/>
        <w:keepLines/>
        <w:widowControl/>
        <w:tabs>
          <w:tab w:pos="9865" w:val="right" w:leader="dot"/>
        </w:tabs>
        <w:spacing w:before="0" w:after="0" w:line="259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2. Поиск гиперпараметров</w:t>
        <w:tab/>
        <w:t>2</w:t>
      </w:r>
    </w:p>
    <w:p>
      <w:pPr>
        <w:keepNext/>
        <w:keepLines/>
        <w:widowControl/>
        <w:tabs>
          <w:tab w:pos="9865" w:val="right" w:leader="dot"/>
        </w:tabs>
        <w:spacing w:before="0" w:after="0" w:line="259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3. Итоговое сравнение</w:t>
        <w:tab/>
        <w:t>3</w:t>
      </w:r>
    </w:p>
    <w:p>
      <w:pPr>
        <w:keepNext/>
        <w:keepLines/>
        <w:widowControl/>
        <w:tabs>
          <w:tab w:pos="9865" w:val="right" w:leader="dot"/>
        </w:tabs>
        <w:spacing w:before="0" w:after="0" w:line="259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Заключение</w:t>
        <w:tab/>
        <w:t>3</w:t>
      </w:r>
    </w:p>
    <w:p>
      <w:pPr>
        <w:keepNext/>
        <w:keepLines/>
        <w:widowControl/>
        <w:tabs>
          <w:tab w:pos="9865" w:val="right" w:leader="dot"/>
        </w:tabs>
        <w:spacing w:before="0" w:after="0" w:line="259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Список использованных источников</w:t>
        <w:tab/>
        <w:t>3</w:t>
      </w:r>
    </w:p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Порядок выполнения: данные → проверки → базовая серия → поиск → сравнение.</w:t>
      </w:r>
    </w:p>
    <w:p>
      <w:pPr>
        <w:pStyle w:val="Heading1"/>
        <w:keepNext/>
        <w:widowControl/>
        <w:spacing w:before="100" w:after="100" w:line="259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Цель — создать каркас воспроизводимых запусков и проверить, превышает ли эффект подбора гиперпараметров случайный разброс точности [1].</w:t>
      </w:r>
    </w:p>
    <w:p>
      <w:pPr>
        <w:pStyle w:val="Heading1"/>
        <w:keepNext/>
        <w:widowControl/>
        <w:spacing w:before="100" w:after="100" w:line="259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 Методика и базовая серия</w:t>
      </w:r>
    </w:p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Набор load_digits: все 1797 изображений 8 × 8 (64 признака), метки 0–9. Стратифицированное разбиение с split_seed=0: train/val/test = 1077/360/360, признаки делятся на 16. Train служит для обучения, val — для подбора, test — для итоговой оценки.</w:t>
      </w:r>
    </w:p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Базовый перцептрон: 64 → 64 → 10, ReLU, dropout=0; Adam, lr=0,001, weight_decay=0, batch_size=64; 30 эпох, CPU, один поток. CrossEntropyLoss получает логиты. Harness сохраняет файлы запусков и журнал MLflow.</w:t>
      </w:r>
    </w:p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Включён детерминизм; seed: random/NumPy/PyTorch/DataLoader; num_workers=0.</w:t>
      </w:r>
    </w:p>
    <w:p>
      <w:pPr>
        <w:keepNext/>
        <w:widowControl/>
        <w:spacing w:before="40" w:after="40" w:line="259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0"/>
        </w:rPr>
        <w:t>Таблица 1 — Базовая серия base_seeds; val: 360 изображений в каждом запуске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417"/>
        <w:gridCol w:w="4252"/>
        <w:gridCol w:w="4252"/>
      </w:tblGrid>
      <w:tr>
        <w:trPr>
          <w:cantSplit/>
          <w:tblHeader w:val="true"/>
        </w:trPr>
        <w:tc>
          <w:tcPr>
            <w:tcW w:type="dxa" w:w="1417"/>
            <w:vAlign w:val="center"/>
            <w:shd w:fill="D9E2F3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Seed</w:t>
            </w:r>
          </w:p>
        </w:tc>
        <w:tc>
          <w:tcPr>
            <w:tcW w:type="dxa" w:w="4252"/>
            <w:vAlign w:val="center"/>
            <w:shd w:fill="D9E2F3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Точность val, %</w:t>
            </w:r>
          </w:p>
        </w:tc>
        <w:tc>
          <w:tcPr>
            <w:tcW w:type="dxa" w:w="4252"/>
            <w:vAlign w:val="center"/>
            <w:shd w:fill="D9E2F3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Обучение и val, 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4252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96,11</w:t>
            </w:r>
          </w:p>
        </w:tc>
        <w:tc>
          <w:tcPr>
            <w:tcW w:type="dxa" w:w="4252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0,886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4252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95,56</w:t>
            </w:r>
          </w:p>
        </w:tc>
        <w:tc>
          <w:tcPr>
            <w:tcW w:type="dxa" w:w="4252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0,712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4252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95,28</w:t>
            </w:r>
          </w:p>
        </w:tc>
        <w:tc>
          <w:tcPr>
            <w:tcW w:type="dxa" w:w="4252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0,713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4252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95,28</w:t>
            </w:r>
          </w:p>
        </w:tc>
        <w:tc>
          <w:tcPr>
            <w:tcW w:type="dxa" w:w="4252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0,707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4252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95,56</w:t>
            </w:r>
          </w:p>
        </w:tc>
        <w:tc>
          <w:tcPr>
            <w:tcW w:type="dxa" w:w="4252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1,965</w:t>
            </w:r>
          </w:p>
        </w:tc>
      </w:tr>
    </w:tbl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табл. 1 минимум/медиана/максимум точности — 95,28/95,56/96,11%; разброс — 0,83 п. п. Медиана времени — 0,713 с. Таймер: обучение и val без создания модели, записи файлов и MLflow. При смене seed 1 на 2 исправлена 1 ошибка, появились 3 новые.</w:t>
      </w:r>
    </w:p>
    <w:p>
      <w:pPr>
        <w:pStyle w:val="Heading1"/>
        <w:keepNext/>
        <w:widowControl/>
        <w:spacing w:before="100" w:after="100" w:line="259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 Поиск гиперпараметров</w:t>
      </w:r>
    </w:p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Optuna, study lr0_search: TPE(seed=42), MedianPruner(5, 5); 40 последовательных попыток с продолжением после 10. Менялись lr, n_layers, hidden, dropout, weight_decay, batch_size; фиксированы разбиение, seed=0, 30 эпох. Цель — последний val. Итог: 26 COMPLETE, 14 PRUNED, 0 FAIL.</w:t>
      </w:r>
    </w:p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Выполнено 866 из 1200 эпох; пропущено 334. Сумма времени эпох — 167,48 с. Экономия ≈ 43,33 с оценена по средней длительности выполненных эпох остановленных попыток. На рисунке 1 PRUNED показаны на момент остановки, COMPLETE — после 30 эпох.</w:t>
      </w:r>
    </w:p>
    <w:p>
      <w:pPr>
        <w:keepNext/>
        <w:pageBreakBefore w:val="0"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6300000" cy="1320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histo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320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40" w:line="259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0"/>
        </w:rPr>
        <w:t>Рисунок 1 — История поиска и лучшее завершённое значение val</w:t>
      </w:r>
    </w:p>
    <w:p>
      <w:pPr>
        <w:keepNext/>
        <w:pageBreakBefore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6300000" cy="1257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importa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257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40" w:line="259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0"/>
        </w:rPr>
        <w:t>Рисунок 2 — Относительная важность параметров по 26 завершённым попыткам</w:t>
      </w:r>
    </w:p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На рисунке 2 наиболее важны weight_decay (52,09%) и hidden (22,26%); оценка относится к проведённому поиску. Лучший trial 18: 64 → 433 → 433 → 433 → 10, dropout=0,36651, lr=0,00271627, weight_decay=0,000116025; batch_size=64. Полные значения сохранены в configs/best.yaml до оценки test.</w:t>
      </w:r>
    </w:p>
    <w:p>
      <w:pPr>
        <w:pStyle w:val="Heading1"/>
        <w:keepNext/>
        <w:widowControl/>
        <w:spacing w:before="100" w:after="100" w:line="259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 Итоговое сравнение</w:t>
      </w:r>
    </w:p>
    <w:p>
      <w:pPr>
        <w:keepNext/>
        <w:widowControl/>
        <w:spacing w:before="40" w:after="40" w:line="259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0"/>
        </w:rPr>
        <w:t>Таблица 2 — Серия final; по 360 изображений val и test на каждую модель и seed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020"/>
        <w:gridCol w:w="1757"/>
        <w:gridCol w:w="1757"/>
        <w:gridCol w:w="2693"/>
        <w:gridCol w:w="2693"/>
      </w:tblGrid>
      <w:tr>
        <w:trPr>
          <w:cantSplit/>
          <w:tblHeader w:val="true"/>
        </w:trPr>
        <w:tc>
          <w:tcPr>
            <w:tcW w:type="dxa" w:w="1020"/>
            <w:vAlign w:val="center"/>
            <w:shd w:fill="D9E2F3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Seed</w:t>
            </w:r>
          </w:p>
        </w:tc>
        <w:tc>
          <w:tcPr>
            <w:tcW w:type="dxa" w:w="1757"/>
            <w:vAlign w:val="center"/>
            <w:shd w:fill="D9E2F3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Δ val, п. п.</w:t>
            </w:r>
          </w:p>
        </w:tc>
        <w:tc>
          <w:tcPr>
            <w:tcW w:type="dxa" w:w="1757"/>
            <w:vAlign w:val="center"/>
            <w:shd w:fill="D9E2F3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Δ test, п. п.</w:t>
            </w:r>
          </w:p>
        </w:tc>
        <w:tc>
          <w:tcPr>
            <w:tcW w:type="dxa" w:w="2693"/>
            <w:vAlign w:val="center"/>
            <w:shd w:fill="D9E2F3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Исправлено test</w:t>
            </w:r>
          </w:p>
        </w:tc>
        <w:tc>
          <w:tcPr>
            <w:tcW w:type="dxa" w:w="2693"/>
            <w:vAlign w:val="center"/>
            <w:shd w:fill="D9E2F3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Испорчено test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101</w:t>
            </w:r>
          </w:p>
        </w:tc>
        <w:tc>
          <w:tcPr>
            <w:tcW w:type="dxa" w:w="175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2,22</w:t>
            </w:r>
          </w:p>
        </w:tc>
        <w:tc>
          <w:tcPr>
            <w:tcW w:type="dxa" w:w="175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1,67</w:t>
            </w:r>
          </w:p>
        </w:tc>
        <w:tc>
          <w:tcPr>
            <w:tcW w:type="dxa" w:w="2693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693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102</w:t>
            </w:r>
          </w:p>
        </w:tc>
        <w:tc>
          <w:tcPr>
            <w:tcW w:type="dxa" w:w="175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0,83</w:t>
            </w:r>
          </w:p>
        </w:tc>
        <w:tc>
          <w:tcPr>
            <w:tcW w:type="dxa" w:w="175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1,39</w:t>
            </w:r>
          </w:p>
        </w:tc>
        <w:tc>
          <w:tcPr>
            <w:tcW w:type="dxa" w:w="2693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2693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175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2,50</w:t>
            </w:r>
          </w:p>
        </w:tc>
        <w:tc>
          <w:tcPr>
            <w:tcW w:type="dxa" w:w="175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3,06</w:t>
            </w:r>
          </w:p>
        </w:tc>
        <w:tc>
          <w:tcPr>
            <w:tcW w:type="dxa" w:w="2693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2693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104</w:t>
            </w:r>
          </w:p>
        </w:tc>
        <w:tc>
          <w:tcPr>
            <w:tcW w:type="dxa" w:w="175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1,94</w:t>
            </w:r>
          </w:p>
        </w:tc>
        <w:tc>
          <w:tcPr>
            <w:tcW w:type="dxa" w:w="175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2,22</w:t>
            </w:r>
          </w:p>
        </w:tc>
        <w:tc>
          <w:tcPr>
            <w:tcW w:type="dxa" w:w="2693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2693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105</w:t>
            </w:r>
          </w:p>
        </w:tc>
        <w:tc>
          <w:tcPr>
            <w:tcW w:type="dxa" w:w="175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2,50</w:t>
            </w:r>
          </w:p>
        </w:tc>
        <w:tc>
          <w:tcPr>
            <w:tcW w:type="dxa" w:w="1757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1,94</w:t>
            </w:r>
          </w:p>
        </w:tc>
        <w:tc>
          <w:tcPr>
            <w:tcW w:type="dxa" w:w="2693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693"/>
            <w:vAlign w:val="center"/>
            <w:shd w:fill="FFFFFF"/>
            <w:tcMar>
              <w:top w:w="35" w:type="dxa"/>
              <w:bottom w:w="35" w:type="dxa"/>
              <w:start w:w="55" w:type="dxa"/>
              <w:end w:w="55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3</w:t>
            </w:r>
          </w:p>
        </w:tc>
      </w:tr>
    </w:tbl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Δ = acc выбранной модели − acc базовой модели (табл. 2). Для val медиана Δ — 2,22 п. п., диапазон 0,83–2,50; для test — 1,94 и 1,39–3,06 п. п. Исправлено 57 ошибок, появилось 20 новых: +37 верных ответов на 1800 парных сравнений (360 уникальных изображений × 5 seed).</w:t>
      </w:r>
    </w:p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Лучший val в поиске — 97,78%; средний val на новых seed — 97,39%; средний test — 96,83%. Максимум поиска оптимистичен из-за выбора по val; новые seed показывают вариативность обучения, а test оценивает другую часть данных.</w:t>
      </w:r>
    </w:p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Примеры test при seed 103: индекс 51, цифра 2: база предсказала 1, выбранная модель — 2; индекс 1242, цифра 1: верный ответ базы 1 сменился ошибочным 9.</w:t>
      </w:r>
    </w:p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Прогноз: разброс 0,5–1,5 п. п. подтвердился (0,83); преимущество лучшего trial ожидалось 0,5–1,5, получено 2,78 п. п. Средний прирост test ожидался 0–1, получено 2,06 п. п.; все пять разностей положительны.</w:t>
      </w:r>
    </w:p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Код подготовлен с помощью ИИ и проверен чтением, пересчётом метрик из CSV и семью тестами verify.py --runs. Для двух запусков seed 0 совпали predictions.csv и показатели обучения в history.csv; фактическое время эпох сравнивалось отдельно. Незапланированный повтор после десяти итоговых запусков прерван и сохранён в runs/excluded; в табл. 2 входят исходные десять запусков.</w:t>
      </w:r>
    </w:p>
    <w:p>
      <w:pPr>
        <w:pStyle w:val="Heading1"/>
        <w:keepNext/>
        <w:widowControl/>
        <w:spacing w:before="100" w:after="100" w:line="259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Заключение</w:t>
      </w:r>
    </w:p>
    <w:p>
      <w:pPr>
        <w:keepNext w:val="0"/>
        <w:widowControl/>
        <w:spacing w:before="0" w:after="0" w:line="259" w:lineRule="auto"/>
        <w:ind w:firstLine="567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Все пять приростов test превышают разброс базы 0,83 п. п.: по описательному критерию методички улучшение устойчиво. Статистическая значимость не проверялась. Вывод ограничен load_digits, одним разбиением, выбранными диапазонами поиска и пятью seed; повторы используют одни и те же тестовые изображения.</w:t>
      </w:r>
    </w:p>
    <w:p>
      <w:pPr>
        <w:pStyle w:val="Heading1"/>
        <w:keepNext/>
        <w:widowControl/>
        <w:spacing w:before="100" w:after="100" w:line="259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keepNext w:val="0"/>
        <w:keepLines/>
        <w:widowControl/>
        <w:tabs>
          <w:tab w:pos="369" w:val="left"/>
        </w:tabs>
        <w:spacing w:before="0" w:after="0" w:line="259" w:lineRule="auto"/>
        <w:ind w:left="369" w:hanging="369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1.</w:t>
        <w:tab/>
        <w:t xml:space="preserve">Интеллектуальные системы. Общие правила и ЛР0. </w:t>
      </w:r>
      <w:hyperlink r:id="rId29">
        <w:r>
          <w:rPr>
            <w:rFonts w:ascii="Times New Roman" w:hAnsi="Times New Roman"/>
            <w:sz w:val="24"/>
          </w:rPr>
          <w:t>github.com/dm780009/intsys</w:t>
        </w:r>
      </w:hyperlink>
      <w:r>
        <w:rPr>
          <w:rFonts w:ascii="Times New Roman" w:hAnsi="Times New Roman" w:eastAsia="Times New Roman"/>
          <w:color w:val="000000"/>
          <w:sz w:val="24"/>
        </w:rPr>
        <w:t xml:space="preserve"> (дата обращения: 22.10.2026).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134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hyperlink" Target="https://github.com/dm780009/ints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ЛР0 Воспроизводимый эксперимент</dc:title>
  <dc:subject>Интеллектуальные системы</dc:subject>
  <dc:creator>Грязнов Александр Евгеньевич</dc:creator>
  <cp:keywords>ЛР0, 8ВМ63, load_digits, Optuna, MLflow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