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b/>
          <w:bCs/>
          <w:color w:val="A07A45"/>
          <w:spacing w:val="40"/>
          <w:sz w:val="18"/>
          <w:szCs w:val="18"/>
        </w:rPr>
        <w:t xml:space="preserve">MOORI INTERIORS  ·  WEBSITE GROWTH PROGRAMME</w:t>
      </w:r>
    </w:p>
    <w:p>
      <w:pPr>
        <w:pBdr>
          <w:bottom w:val="single" w:color="A07A45" w:sz="12" w:space="8"/>
        </w:pBdr>
        <w:spacing w:after="300"/>
      </w:pPr>
      <w:r>
        <w:rPr>
          <w:rFonts w:ascii="Arial" w:cs="Arial" w:eastAsia="Arial" w:hAnsi="Arial"/>
          <w:b/>
          <w:bCs/>
          <w:color w:val="1F2A44"/>
          <w:sz w:val="60"/>
          <w:szCs w:val="60"/>
        </w:rPr>
        <w:t xml:space="preserve">Business Goal Research</w:t>
      </w:r>
    </w:p>
    <w:p>
      <w:pPr>
        <w:spacing w:after="900"/>
      </w:pPr>
      <w:r>
        <w:rPr>
          <w:rFonts w:ascii="Arial" w:cs="Arial" w:eastAsia="Arial" w:hAnsi="Arial"/>
          <w:color w:val="5B6270"/>
          <w:sz w:val="26"/>
          <w:szCs w:val="26"/>
        </w:rPr>
        <w:t xml:space="preserve">What Moori Interiors wants the new website to achieve, who it serves and the constraints it works within — drawn only from the discovery call and Moori's own published materials.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c>
          <w:tcPr>
            <w:tcW w:type="dxa" w:w="260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9"/>
                <w:szCs w:val="19"/>
              </w:rPr>
              <w:t xml:space="preserve">Client</w:t>
            </w:r>
          </w:p>
        </w:tc>
        <w:tc>
          <w:tcPr>
            <w:tcW w:type="dxa" w:w="714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9"/>
                <w:szCs w:val="19"/>
              </w:rPr>
              <w:t xml:space="preserve">Moori Interiors (Dubai)</w:t>
            </w:r>
          </w:p>
        </w:tc>
      </w:tr>
      <w:tr>
        <w:tc>
          <w:tcPr>
            <w:tcW w:type="dxa" w:w="260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9"/>
                <w:szCs w:val="19"/>
              </w:rPr>
              <w:t xml:space="preserve">Primary source</w:t>
            </w:r>
          </w:p>
        </w:tc>
        <w:tc>
          <w:tcPr>
            <w:tcW w:type="dxa" w:w="714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9"/>
                <w:szCs w:val="19"/>
              </w:rPr>
              <w:t xml:space="preserve">Growthmak × Moori discovery call, 27 October 2026 (23 min, Fathom recording)</w:t>
            </w:r>
          </w:p>
        </w:tc>
      </w:tr>
      <w:tr>
        <w:tc>
          <w:tcPr>
            <w:tcW w:type="dxa" w:w="260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9"/>
                <w:szCs w:val="19"/>
              </w:rPr>
              <w:t xml:space="preserve">Secondary sources</w:t>
            </w:r>
          </w:p>
        </w:tc>
        <w:tc>
          <w:tcPr>
            <w:tcW w:type="dxa" w:w="714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9"/>
                <w:szCs w:val="19"/>
              </w:rPr>
              <w:t xml:space="preserve">moori.ae (53 pages), Instagram @moori_interiors (profile + 60 posts), LinkedIn company page, Pinterest @mooriinterior</w:t>
            </w:r>
          </w:p>
        </w:tc>
      </w:tr>
      <w:tr>
        <w:tc>
          <w:tcPr>
            <w:tcW w:type="dxa" w:w="260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9"/>
                <w:szCs w:val="19"/>
              </w:rPr>
              <w:t xml:space="preserve">Evidence rule</w:t>
            </w:r>
          </w:p>
        </w:tc>
        <w:tc>
          <w:tcPr>
            <w:tcW w:type="dxa" w:w="714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9"/>
                <w:szCs w:val="19"/>
              </w:rPr>
              <w:t xml:space="preserve">No speculation. Every statement is tagged to its source; anything not stated or published is listed as an open question.</w:t>
            </w:r>
          </w:p>
        </w:tc>
      </w:tr>
      <w:tr>
        <w:tc>
          <w:tcPr>
            <w:tcW w:type="dxa" w:w="260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9"/>
                <w:szCs w:val="19"/>
              </w:rPr>
              <w:t xml:space="preserve">Feeds into</w:t>
            </w:r>
          </w:p>
        </w:tc>
        <w:tc>
          <w:tcPr>
            <w:tcW w:type="dxa" w:w="714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9"/>
                <w:szCs w:val="19"/>
              </w:rPr>
              <w:t xml:space="preserve">ICP, Competitor Analysis, Sitemap</w:t>
            </w:r>
          </w:p>
        </w:tc>
      </w:tr>
    </w:tbl>
    <w:p>
      <w:pPr>
        <w:spacing w:before="1400"/>
      </w:pPr>
      <w:r>
        <w:rPr>
          <w:rFonts w:ascii="Arial" w:cs="Arial" w:eastAsia="Arial" w:hAnsi="Arial"/>
          <w:i/>
          <w:iCs/>
          <w:color w:val="5B6270"/>
          <w:sz w:val="17"/>
          <w:szCs w:val="17"/>
        </w:rPr>
        <w:t xml:space="preserve">Prepared by Growthmak for Moori Interiors. Confidential — for internal planning and client review.</w:t>
      </w:r>
    </w:p>
    <w:p>
      <w:pPr>
        <w:pageBreakBefore/>
        <w:pBdr>
          <w:bottom w:val="single" w:color="A07A45" w:sz="10" w:space="6"/>
        </w:pBdr>
        <w:spacing w:after="220"/>
      </w:pPr>
      <w:r>
        <w:rPr>
          <w:rFonts w:ascii="Arial" w:cs="Arial" w:eastAsia="Arial" w:hAnsi="Arial"/>
          <w:b/>
          <w:bCs/>
          <w:color w:val="1F2A44"/>
          <w:sz w:val="34"/>
          <w:szCs w:val="34"/>
        </w:rPr>
        <w:t xml:space="preserve">Contents</w:t>
      </w:r>
    </w:p>
    <w:p>
      <w:pPr>
        <w:spacing w:after="120"/>
      </w:pPr>
      <w:r>
        <w:rPr>
          <w:rFonts w:ascii="Arial" w:cs="Arial" w:eastAsia="Arial" w:hAnsi="Arial"/>
          <w:b/>
          <w:bCs/>
          <w:color w:val="1F2A44"/>
          <w:sz w:val="22"/>
          <w:szCs w:val="22"/>
        </w:rPr>
        <w:t xml:space="preserve">1. How to read this report</w:t>
      </w:r>
      <w:r>
        <w:rPr>
          <w:rFonts w:ascii="Arial" w:cs="Arial" w:eastAsia="Arial" w:hAnsi="Arial"/>
          <w:color w:val="5B6270"/>
          <w:sz w:val="19"/>
          <w:szCs w:val="19"/>
        </w:rPr>
        <w:t xml:space="preserve">  —  evidence tags and attribution</w:t>
      </w:r>
    </w:p>
    <w:p>
      <w:pPr>
        <w:spacing w:after="120"/>
      </w:pPr>
      <w:r>
        <w:rPr>
          <w:rFonts w:ascii="Arial" w:cs="Arial" w:eastAsia="Arial" w:hAnsi="Arial"/>
          <w:b/>
          <w:bCs/>
          <w:color w:val="1F2A44"/>
          <w:sz w:val="22"/>
          <w:szCs w:val="22"/>
        </w:rPr>
        <w:t xml:space="preserve">2. Summary of goals</w:t>
      </w:r>
      <w:r>
        <w:rPr>
          <w:rFonts w:ascii="Arial" w:cs="Arial" w:eastAsia="Arial" w:hAnsi="Arial"/>
          <w:color w:val="5B6270"/>
          <w:sz w:val="19"/>
          <w:szCs w:val="19"/>
        </w:rPr>
        <w:t xml:space="preserve">  —  the one-page answer</w:t>
      </w:r>
    </w:p>
    <w:p>
      <w:pPr>
        <w:spacing w:after="120"/>
      </w:pPr>
      <w:r>
        <w:rPr>
          <w:rFonts w:ascii="Arial" w:cs="Arial" w:eastAsia="Arial" w:hAnsi="Arial"/>
          <w:b/>
          <w:bCs/>
          <w:color w:val="1F2A44"/>
          <w:sz w:val="22"/>
          <w:szCs w:val="22"/>
        </w:rPr>
        <w:t xml:space="preserve">3. The business today</w:t>
      </w:r>
      <w:r>
        <w:rPr>
          <w:rFonts w:ascii="Arial" w:cs="Arial" w:eastAsia="Arial" w:hAnsi="Arial"/>
          <w:color w:val="5B6270"/>
          <w:sz w:val="19"/>
          <w:szCs w:val="19"/>
        </w:rPr>
        <w:t xml:space="preserve">  —  company facts, offer, pricing, proof</w:t>
      </w:r>
    </w:p>
    <w:p>
      <w:pPr>
        <w:spacing w:after="120"/>
      </w:pPr>
      <w:r>
        <w:rPr>
          <w:rFonts w:ascii="Arial" w:cs="Arial" w:eastAsia="Arial" w:hAnsi="Arial"/>
          <w:b/>
          <w:bCs/>
          <w:color w:val="1F2A44"/>
          <w:sz w:val="22"/>
          <w:szCs w:val="22"/>
        </w:rPr>
        <w:t xml:space="preserve">4. Business objectives</w:t>
      </w:r>
      <w:r>
        <w:rPr>
          <w:rFonts w:ascii="Arial" w:cs="Arial" w:eastAsia="Arial" w:hAnsi="Arial"/>
          <w:color w:val="5B6270"/>
          <w:sz w:val="19"/>
          <w:szCs w:val="19"/>
        </w:rPr>
        <w:t xml:space="preserve">  —  targets, timeframe, capacity</w:t>
      </w:r>
    </w:p>
    <w:p>
      <w:pPr>
        <w:spacing w:after="120"/>
      </w:pPr>
      <w:r>
        <w:rPr>
          <w:rFonts w:ascii="Arial" w:cs="Arial" w:eastAsia="Arial" w:hAnsi="Arial"/>
          <w:b/>
          <w:bCs/>
          <w:color w:val="1F2A44"/>
          <w:sz w:val="22"/>
          <w:szCs w:val="22"/>
        </w:rPr>
        <w:t xml:space="preserve">5. Current acquisition and pipeline</w:t>
      </w:r>
      <w:r>
        <w:rPr>
          <w:rFonts w:ascii="Arial" w:cs="Arial" w:eastAsia="Arial" w:hAnsi="Arial"/>
          <w:color w:val="5B6270"/>
          <w:sz w:val="19"/>
          <w:szCs w:val="19"/>
        </w:rPr>
        <w:t xml:space="preserve">  —  channels, volumes, conversion, ad history</w:t>
      </w:r>
    </w:p>
    <w:p>
      <w:pPr>
        <w:spacing w:after="120"/>
      </w:pPr>
      <w:r>
        <w:rPr>
          <w:rFonts w:ascii="Arial" w:cs="Arial" w:eastAsia="Arial" w:hAnsi="Arial"/>
          <w:b/>
          <w:bCs/>
          <w:color w:val="1F2A44"/>
          <w:sz w:val="22"/>
          <w:szCs w:val="22"/>
        </w:rPr>
        <w:t xml:space="preserve">6. Target audience — as stated and published</w:t>
      </w:r>
      <w:r>
        <w:rPr>
          <w:rFonts w:ascii="Arial" w:cs="Arial" w:eastAsia="Arial" w:hAnsi="Arial"/>
          <w:color w:val="5B6270"/>
          <w:sz w:val="19"/>
          <w:szCs w:val="19"/>
        </w:rPr>
        <w:t xml:space="preserve">  —  segments, sources, buyer concerns</w:t>
      </w:r>
    </w:p>
    <w:p>
      <w:pPr>
        <w:spacing w:after="120"/>
      </w:pPr>
      <w:r>
        <w:rPr>
          <w:rFonts w:ascii="Arial" w:cs="Arial" w:eastAsia="Arial" w:hAnsi="Arial"/>
          <w:b/>
          <w:bCs/>
          <w:color w:val="1F2A44"/>
          <w:sz w:val="22"/>
          <w:szCs w:val="22"/>
        </w:rPr>
        <w:t xml:space="preserve">7. Competitive context — as stated</w:t>
      </w:r>
      <w:r>
        <w:rPr>
          <w:rFonts w:ascii="Arial" w:cs="Arial" w:eastAsia="Arial" w:hAnsi="Arial"/>
          <w:color w:val="5B6270"/>
          <w:sz w:val="19"/>
          <w:szCs w:val="19"/>
        </w:rPr>
        <w:t xml:space="preserve">  —  the two competitor types</w:t>
      </w:r>
    </w:p>
    <w:p>
      <w:pPr>
        <w:spacing w:after="120"/>
      </w:pPr>
      <w:r>
        <w:rPr>
          <w:rFonts w:ascii="Arial" w:cs="Arial" w:eastAsia="Arial" w:hAnsi="Arial"/>
          <w:b/>
          <w:bCs/>
          <w:color w:val="1F2A44"/>
          <w:sz w:val="22"/>
          <w:szCs w:val="22"/>
        </w:rPr>
        <w:t xml:space="preserve">8. Role of the website</w:t>
      </w:r>
      <w:r>
        <w:rPr>
          <w:rFonts w:ascii="Arial" w:cs="Arial" w:eastAsia="Arial" w:hAnsi="Arial"/>
          <w:color w:val="5B6270"/>
          <w:sz w:val="19"/>
          <w:szCs w:val="19"/>
        </w:rPr>
        <w:t xml:space="preserve">  —  what the call says the website must do</w:t>
      </w:r>
    </w:p>
    <w:p>
      <w:pPr>
        <w:spacing w:after="120"/>
      </w:pPr>
      <w:r>
        <w:rPr>
          <w:rFonts w:ascii="Arial" w:cs="Arial" w:eastAsia="Arial" w:hAnsi="Arial"/>
          <w:b/>
          <w:bCs/>
          <w:color w:val="1F2A44"/>
          <w:sz w:val="22"/>
          <w:szCs w:val="22"/>
        </w:rPr>
        <w:t xml:space="preserve">9. Owned-channel baseline</w:t>
      </w:r>
      <w:r>
        <w:rPr>
          <w:rFonts w:ascii="Arial" w:cs="Arial" w:eastAsia="Arial" w:hAnsi="Arial"/>
          <w:color w:val="5B6270"/>
          <w:sz w:val="19"/>
          <w:szCs w:val="19"/>
        </w:rPr>
        <w:t xml:space="preserve">  —  Instagram, LinkedIn, Pinterest, website</w:t>
      </w:r>
    </w:p>
    <w:p>
      <w:pPr>
        <w:spacing w:after="120"/>
      </w:pPr>
      <w:r>
        <w:rPr>
          <w:rFonts w:ascii="Arial" w:cs="Arial" w:eastAsia="Arial" w:hAnsi="Arial"/>
          <w:b/>
          <w:bCs/>
          <w:color w:val="1F2A44"/>
          <w:sz w:val="22"/>
          <w:szCs w:val="22"/>
        </w:rPr>
        <w:t xml:space="preserve">10. Agreed next steps</w:t>
      </w:r>
      <w:r>
        <w:rPr>
          <w:rFonts w:ascii="Arial" w:cs="Arial" w:eastAsia="Arial" w:hAnsi="Arial"/>
          <w:color w:val="5B6270"/>
          <w:sz w:val="19"/>
          <w:szCs w:val="19"/>
        </w:rPr>
        <w:t xml:space="preserve">  —  action items from the call</w:t>
      </w:r>
    </w:p>
    <w:p>
      <w:pPr>
        <w:spacing w:after="120"/>
      </w:pPr>
      <w:r>
        <w:rPr>
          <w:rFonts w:ascii="Arial" w:cs="Arial" w:eastAsia="Arial" w:hAnsi="Arial"/>
          <w:b/>
          <w:bCs/>
          <w:color w:val="1F2A44"/>
          <w:sz w:val="22"/>
          <w:szCs w:val="22"/>
        </w:rPr>
        <w:t xml:space="preserve">11. Open questions</w:t>
      </w:r>
      <w:r>
        <w:rPr>
          <w:rFonts w:ascii="Arial" w:cs="Arial" w:eastAsia="Arial" w:hAnsi="Arial"/>
          <w:color w:val="5B6270"/>
          <w:sz w:val="19"/>
          <w:szCs w:val="19"/>
        </w:rPr>
        <w:t xml:space="preserve">  —  what must be confirmed with Sooraj</w:t>
      </w:r>
    </w:p>
    <w:p>
      <w:pPr>
        <w:spacing w:after="120"/>
      </w:pPr>
      <w:r>
        <w:rPr>
          <w:rFonts w:ascii="Arial" w:cs="Arial" w:eastAsia="Arial" w:hAnsi="Arial"/>
          <w:b/>
          <w:bCs/>
          <w:color w:val="1F2A44"/>
          <w:sz w:val="22"/>
          <w:szCs w:val="22"/>
        </w:rPr>
        <w:t xml:space="preserve">12. Requirements carried into the next reports</w:t>
      </w:r>
      <w:r>
        <w:rPr>
          <w:rFonts w:ascii="Arial" w:cs="Arial" w:eastAsia="Arial" w:hAnsi="Arial"/>
          <w:color w:val="5B6270"/>
          <w:sz w:val="19"/>
          <w:szCs w:val="19"/>
        </w:rPr>
        <w:t xml:space="preserve">  —  traceable requirements only</w:t>
      </w:r>
    </w:p>
    <w:p>
      <w:pPr>
        <w:pStyle w:val="Heading1"/>
        <w:pageBreakBefore/>
      </w:pPr>
      <w:r>
        <w:rPr>
          <w:rFonts w:ascii="Arial" w:cs="Arial" w:eastAsia="Arial" w:hAnsi="Arial"/>
        </w:rPr>
        <w:t xml:space="preserve">1. How to read this report</w:t>
      </w:r>
    </w:p>
    <w:p>
      <w:pPr>
        <w:spacing w:after="140" w:before="0" w:line="300"/>
        <w:jc w:val="left"/>
      </w:pPr>
      <w:r>
        <w:rPr>
          <w:rFonts w:ascii="Arial" w:cs="Arial" w:eastAsia="Arial" w:hAnsi="Arial"/>
          <w:color w:val="1E1E1E"/>
          <w:sz w:val="21"/>
          <w:szCs w:val="21"/>
        </w:rPr>
        <w:t xml:space="preserve">Each finding carries one of four tags so readers can see how firm it 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8122"/>
      </w:tblGrid>
      <w:tr>
        <w:trPr>
          <w:tblHeader/>
        </w:trPr>
        <w:tc>
          <w:tcPr>
            <w:tcW w:type="dxa" w:w="1624"/>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Tag</w:t>
            </w:r>
          </w:p>
        </w:tc>
        <w:tc>
          <w:tcPr>
            <w:tcW w:type="dxa" w:w="8122"/>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Meaning</w:t>
            </w:r>
          </w:p>
        </w:tc>
      </w:tr>
      <w:tr>
        <w:trPr>
          <w:cantSplit/>
        </w:trPr>
        <w:tc>
          <w:tcPr>
            <w:tcW w:type="dxa" w:w="1624"/>
            <w:tcBorders>
              <w:top w:val="single" w:color="D9D4CB" w:sz="4"/>
              <w:left w:val="single" w:color="D9D4CB" w:sz="4"/>
              <w:bottom w:val="single" w:color="D9D4CB" w:sz="4"/>
              <w:right w:val="single" w:color="D9D4CB" w:sz="4"/>
            </w:tcBorders>
            <w:shd w:fill="E7F6EC" w:color="auto" w:val="clear"/>
            <w:tcMar>
              <w:top w:type="dxa" w:w="80"/>
              <w:left w:type="dxa" w:w="110"/>
              <w:bottom w:type="dxa" w:w="80"/>
              <w:right w:type="dxa" w:w="110"/>
            </w:tcMar>
            <w:vAlign w:val="top"/>
          </w:tcPr>
          <w:p>
            <w:pPr>
              <w:spacing w:after="40" w:line="260"/>
            </w:pPr>
            <w:r>
              <w:rPr>
                <w:rFonts w:ascii="Arial" w:cs="Arial" w:eastAsia="Arial" w:hAnsi="Arial"/>
                <w:b/>
                <w:bCs/>
                <w:color w:val="067647"/>
                <w:sz w:val="18"/>
                <w:szCs w:val="18"/>
              </w:rPr>
              <w:t xml:space="preserve">Stated</w:t>
            </w:r>
          </w:p>
        </w:tc>
        <w:tc>
          <w:tcPr>
            <w:tcW w:type="dxa" w:w="8122"/>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Said by Moori (Sooraj Sekhar or Naura Fathima) on the 27 October call.</w:t>
            </w:r>
          </w:p>
        </w:tc>
      </w:tr>
      <w:tr>
        <w:trPr>
          <w:cantSplit/>
        </w:trPr>
        <w:tc>
          <w:tcPr>
            <w:tcW w:type="dxa" w:w="1624"/>
            <w:tcBorders>
              <w:top w:val="single" w:color="D9D4CB" w:sz="4"/>
              <w:left w:val="single" w:color="D9D4CB" w:sz="4"/>
              <w:bottom w:val="single" w:color="D9D4CB" w:sz="4"/>
              <w:right w:val="single" w:color="D9D4CB" w:sz="4"/>
            </w:tcBorders>
            <w:shd w:fill="EAF0FD" w:color="auto" w:val="clear"/>
            <w:tcMar>
              <w:top w:type="dxa" w:w="80"/>
              <w:left w:type="dxa" w:w="110"/>
              <w:bottom w:type="dxa" w:w="80"/>
              <w:right w:type="dxa" w:w="110"/>
            </w:tcMar>
            <w:vAlign w:val="top"/>
          </w:tcPr>
          <w:p>
            <w:pPr>
              <w:spacing w:after="40" w:line="260"/>
            </w:pPr>
            <w:r>
              <w:rPr>
                <w:rFonts w:ascii="Arial" w:cs="Arial" w:eastAsia="Arial" w:hAnsi="Arial"/>
                <w:b/>
                <w:bCs/>
                <w:color w:val="1D4ED8"/>
                <w:sz w:val="18"/>
                <w:szCs w:val="18"/>
              </w:rPr>
              <w:t xml:space="preserve">Observed</w:t>
            </w:r>
          </w:p>
        </w:tc>
        <w:tc>
          <w:tcPr>
            <w:tcW w:type="dxa" w:w="8122"/>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Published by Moori on its website or social profiles, or measured from them on 27 October 2026.</w:t>
            </w:r>
          </w:p>
        </w:tc>
      </w:tr>
      <w:tr>
        <w:trPr>
          <w:cantSplit/>
        </w:trPr>
        <w:tc>
          <w:tcPr>
            <w:tcW w:type="dxa" w:w="1624"/>
            <w:tcBorders>
              <w:top w:val="single" w:color="D9D4CB" w:sz="4"/>
              <w:left w:val="single" w:color="D9D4CB" w:sz="4"/>
              <w:bottom w:val="single" w:color="D9D4CB" w:sz="4"/>
              <w:right w:val="single" w:color="D9D4CB" w:sz="4"/>
            </w:tcBorders>
            <w:shd w:fill="EEF0F3" w:color="auto" w:val="clear"/>
            <w:tcMar>
              <w:top w:type="dxa" w:w="80"/>
              <w:left w:type="dxa" w:w="110"/>
              <w:bottom w:type="dxa" w:w="80"/>
              <w:right w:type="dxa" w:w="110"/>
            </w:tcMar>
            <w:vAlign w:val="top"/>
          </w:tcPr>
          <w:p>
            <w:pPr>
              <w:spacing w:after="40" w:line="260"/>
            </w:pPr>
            <w:r>
              <w:rPr>
                <w:rFonts w:ascii="Arial" w:cs="Arial" w:eastAsia="Arial" w:hAnsi="Arial"/>
                <w:b/>
                <w:bCs/>
                <w:color w:val="5B6270"/>
                <w:sz w:val="18"/>
                <w:szCs w:val="18"/>
              </w:rPr>
              <w:t xml:space="preserve">Proposed</w:t>
            </w:r>
          </w:p>
        </w:tc>
        <w:tc>
          <w:tcPr>
            <w:tcW w:type="dxa" w:w="8122"/>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Said by Growthmak on the call and not confirmed by Moori. Recorded so it is not mistaken for a client statement.</w:t>
            </w:r>
          </w:p>
        </w:tc>
      </w:tr>
      <w:tr>
        <w:trPr>
          <w:cantSplit/>
        </w:trPr>
        <w:tc>
          <w:tcPr>
            <w:tcW w:type="dxa" w:w="1624"/>
            <w:tcBorders>
              <w:top w:val="single" w:color="D9D4CB" w:sz="4"/>
              <w:left w:val="single" w:color="D9D4CB" w:sz="4"/>
              <w:bottom w:val="single" w:color="D9D4CB" w:sz="4"/>
              <w:right w:val="single" w:color="D9D4CB" w:sz="4"/>
            </w:tcBorders>
            <w:shd w:fill="FEF3E2" w:color="auto" w:val="clear"/>
            <w:tcMar>
              <w:top w:type="dxa" w:w="80"/>
              <w:left w:type="dxa" w:w="110"/>
              <w:bottom w:type="dxa" w:w="80"/>
              <w:right w:type="dxa" w:w="110"/>
            </w:tcMar>
            <w:vAlign w:val="top"/>
          </w:tcPr>
          <w:p>
            <w:pPr>
              <w:spacing w:after="40" w:line="260"/>
            </w:pPr>
            <w:r>
              <w:rPr>
                <w:rFonts w:ascii="Arial" w:cs="Arial" w:eastAsia="Arial" w:hAnsi="Arial"/>
                <w:b/>
                <w:bCs/>
                <w:color w:val="B54708"/>
                <w:sz w:val="18"/>
                <w:szCs w:val="18"/>
              </w:rPr>
              <w:t xml:space="preserve">Open question</w:t>
            </w:r>
          </w:p>
        </w:tc>
        <w:tc>
          <w:tcPr>
            <w:tcW w:type="dxa" w:w="8122"/>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Raised or implied on the call but not answered. Must be confirmed before it is used.</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A07A45" w:sz="18"/>
              <w:left w:val="single" w:color="D9D4CB" w:sz="4"/>
              <w:bottom w:val="single" w:color="D9D4CB" w:sz="4"/>
              <w:right w:val="single" w:color="D9D4CB" w:sz="4"/>
            </w:tcBorders>
            <w:shd w:fill="F4EEE4" w:color="auto" w:val="clear"/>
            <w:tcMar>
              <w:top w:type="dxa" w:w="140"/>
              <w:left w:type="dxa" w:w="200"/>
              <w:bottom w:type="dxa" w:w="140"/>
              <w:right w:type="dxa" w:w="200"/>
            </w:tcMar>
          </w:tcPr>
          <w:p>
            <w:pPr>
              <w:spacing w:after="80"/>
            </w:pPr>
            <w:r>
              <w:rPr>
                <w:rFonts w:ascii="Arial" w:cs="Arial" w:eastAsia="Arial" w:hAnsi="Arial"/>
                <w:b/>
                <w:bCs/>
                <w:color w:val="A07A45"/>
                <w:sz w:val="21"/>
                <w:szCs w:val="21"/>
              </w:rPr>
              <w:t xml:space="preserve">Note on transcript attribution</w:t>
            </w:r>
          </w:p>
          <w:p>
            <w:pPr>
              <w:spacing w:after="60" w:line="290"/>
            </w:pPr>
            <w:r>
              <w:rPr>
                <w:rFonts w:ascii="Arial" w:cs="Arial" w:eastAsia="Arial" w:hAnsi="Arial"/>
                <w:color w:val="1E1E1E"/>
                <w:sz w:val="20"/>
                <w:szCs w:val="20"/>
              </w:rPr>
              <w:t xml:space="preserve">The Fathom transcript labels are partly scrambled. The "Moori Interiors Dxb" account was opened by Nora (the website lists Naura Fathima, Operations Manager) before Sooraj joined at ~1:56, after which Sooraj spoke from that account. Several of Sooraj's answers are appended to the end of Vishnu's speaker blocks (e.g. "about 80, 90% would be through referrals" at 2:05–2:59). Attribution in this report follows content, not the label: answers about Moori's business are treated as Moori's; questions and proposals are treated as Growthmak's.</w:t>
            </w:r>
          </w:p>
          <w:p>
            <w:pPr>
              <w:spacing w:after="60" w:line="290"/>
            </w:pPr>
            <w:r>
              <w:rPr>
                <w:rFonts w:ascii="Arial" w:cs="Arial" w:eastAsia="Arial" w:hAnsi="Arial"/>
                <w:color w:val="1E1E1E"/>
                <w:sz w:val="20"/>
                <w:szCs w:val="20"/>
              </w:rPr>
              <w:t xml:space="preserve">The transcript spells the founder "Suraj"; the website spells it "Sooraj Sekhar". This report uses the website spelling.</w:t>
            </w:r>
          </w:p>
        </w:tc>
      </w:tr>
    </w:tbl>
    <w:p>
      <w:pPr>
        <w:spacing w:after="160"/>
      </w:pPr>
    </w:p>
    <w:p>
      <w:pPr>
        <w:pStyle w:val="Heading1"/>
        <w:pageBreakBefore/>
      </w:pPr>
      <w:r>
        <w:rPr>
          <w:rFonts w:ascii="Arial" w:cs="Arial" w:eastAsia="Arial" w:hAnsi="Arial"/>
        </w:rPr>
        <w:t xml:space="preserve">2. Summary of goals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93"/>
        <w:gridCol w:w="5962"/>
        <w:gridCol w:w="1491"/>
      </w:tblGrid>
      <w:tr>
        <w:trPr>
          <w:tblHeader/>
        </w:trPr>
        <w:tc>
          <w:tcPr>
            <w:tcW w:type="dxa" w:w="2293"/>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Question</w:t>
            </w:r>
          </w:p>
        </w:tc>
        <w:tc>
          <w:tcPr>
            <w:tcW w:type="dxa" w:w="5962"/>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Answer</w:t>
            </w:r>
          </w:p>
        </w:tc>
        <w:tc>
          <w:tcPr>
            <w:tcW w:type="dxa" w:w="1491"/>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Tag</w:t>
            </w:r>
          </w:p>
        </w:tc>
      </w:tr>
      <w:tr>
        <w:trPr>
          <w:cantSplit/>
        </w:trPr>
        <w:tc>
          <w:tcPr>
            <w:tcW w:type="dxa" w:w="229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What does Moori want?</w:t>
            </w:r>
          </w:p>
        </w:tc>
        <w:tc>
          <w:tcPr>
            <w:tcW w:type="dxa" w:w="5962"/>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A consistent monthly pipeline of qualified enquiries that does not depend on referrals.</w:t>
            </w:r>
          </w:p>
        </w:tc>
        <w:tc>
          <w:tcPr>
            <w:tcW w:type="dxa" w:w="1491"/>
            <w:tcBorders>
              <w:top w:val="single" w:color="D9D4CB" w:sz="4"/>
              <w:left w:val="single" w:color="D9D4CB" w:sz="4"/>
              <w:bottom w:val="single" w:color="D9D4CB" w:sz="4"/>
              <w:right w:val="single" w:color="D9D4CB" w:sz="4"/>
            </w:tcBorders>
            <w:shd w:fill="E7F6EC" w:color="auto" w:val="clear"/>
            <w:tcMar>
              <w:top w:type="dxa" w:w="80"/>
              <w:left w:type="dxa" w:w="110"/>
              <w:bottom w:type="dxa" w:w="80"/>
              <w:right w:type="dxa" w:w="110"/>
            </w:tcMar>
            <w:vAlign w:val="top"/>
          </w:tcPr>
          <w:p>
            <w:pPr>
              <w:spacing w:after="40" w:line="260"/>
            </w:pPr>
            <w:r>
              <w:rPr>
                <w:rFonts w:ascii="Arial" w:cs="Arial" w:eastAsia="Arial" w:hAnsi="Arial"/>
                <w:b/>
                <w:bCs/>
                <w:color w:val="067647"/>
                <w:sz w:val="18"/>
                <w:szCs w:val="18"/>
              </w:rPr>
              <w:t xml:space="preserve">Stated</w:t>
            </w:r>
          </w:p>
        </w:tc>
      </w:tr>
      <w:tr>
        <w:trPr>
          <w:cantSplit/>
        </w:trPr>
        <w:tc>
          <w:tcPr>
            <w:tcW w:type="dxa" w:w="2293"/>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How many?</w:t>
            </w:r>
          </w:p>
        </w:tc>
        <w:tc>
          <w:tcPr>
            <w:tcW w:type="dxa" w:w="5962"/>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"10 to 15" qualified enquiries a month from non-referral sources, "based on our conversion rates". Growthmak set the aim at 15.</w:t>
            </w:r>
          </w:p>
        </w:tc>
        <w:tc>
          <w:tcPr>
            <w:tcW w:type="dxa" w:w="1491"/>
            <w:tcBorders>
              <w:top w:val="single" w:color="D9D4CB" w:sz="4"/>
              <w:left w:val="single" w:color="D9D4CB" w:sz="4"/>
              <w:bottom w:val="single" w:color="D9D4CB" w:sz="4"/>
              <w:right w:val="single" w:color="D9D4CB" w:sz="4"/>
            </w:tcBorders>
            <w:shd w:fill="E7F6EC" w:color="auto" w:val="clear"/>
            <w:tcMar>
              <w:top w:type="dxa" w:w="80"/>
              <w:left w:type="dxa" w:w="110"/>
              <w:bottom w:type="dxa" w:w="80"/>
              <w:right w:type="dxa" w:w="110"/>
            </w:tcMar>
            <w:vAlign w:val="top"/>
          </w:tcPr>
          <w:p>
            <w:pPr>
              <w:spacing w:after="40" w:line="260"/>
            </w:pPr>
            <w:r>
              <w:rPr>
                <w:rFonts w:ascii="Arial" w:cs="Arial" w:eastAsia="Arial" w:hAnsi="Arial"/>
                <w:b/>
                <w:bCs/>
                <w:color w:val="067647"/>
                <w:sz w:val="18"/>
                <w:szCs w:val="18"/>
              </w:rPr>
              <w:t xml:space="preserve">Stated</w:t>
            </w:r>
          </w:p>
        </w:tc>
      </w:tr>
      <w:tr>
        <w:trPr>
          <w:cantSplit/>
        </w:trPr>
        <w:tc>
          <w:tcPr>
            <w:tcW w:type="dxa" w:w="229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By when?</w:t>
            </w:r>
          </w:p>
        </w:tc>
        <w:tc>
          <w:tcPr>
            <w:tcW w:type="dxa" w:w="5962"/>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Growthmak framed "the next three to six months" and a 90-day plan; Moori did not set its own deadline.</w:t>
            </w:r>
          </w:p>
        </w:tc>
        <w:tc>
          <w:tcPr>
            <w:tcW w:type="dxa" w:w="1491"/>
            <w:tcBorders>
              <w:top w:val="single" w:color="D9D4CB" w:sz="4"/>
              <w:left w:val="single" w:color="D9D4CB" w:sz="4"/>
              <w:bottom w:val="single" w:color="D9D4CB" w:sz="4"/>
              <w:right w:val="single" w:color="D9D4CB" w:sz="4"/>
            </w:tcBorders>
            <w:shd w:fill="EEF0F3" w:color="auto" w:val="clear"/>
            <w:tcMar>
              <w:top w:type="dxa" w:w="80"/>
              <w:left w:type="dxa" w:w="110"/>
              <w:bottom w:type="dxa" w:w="80"/>
              <w:right w:type="dxa" w:w="110"/>
            </w:tcMar>
            <w:vAlign w:val="top"/>
          </w:tcPr>
          <w:p>
            <w:pPr>
              <w:spacing w:after="40" w:line="260"/>
            </w:pPr>
            <w:r>
              <w:rPr>
                <w:rFonts w:ascii="Arial" w:cs="Arial" w:eastAsia="Arial" w:hAnsi="Arial"/>
                <w:b/>
                <w:bCs/>
                <w:color w:val="5B6270"/>
                <w:sz w:val="18"/>
                <w:szCs w:val="18"/>
              </w:rPr>
              <w:t xml:space="preserve">Proposed</w:t>
            </w:r>
          </w:p>
        </w:tc>
      </w:tr>
      <w:tr>
        <w:trPr>
          <w:cantSplit/>
        </w:trPr>
        <w:tc>
          <w:tcPr>
            <w:tcW w:type="dxa" w:w="2293"/>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From what baseline?</w:t>
            </w:r>
          </w:p>
        </w:tc>
        <w:tc>
          <w:tcPr>
            <w:tcW w:type="dxa" w:w="5962"/>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5–6 enquiries a month (all sources), 70–80% converted; 80–90% from referrals.</w:t>
            </w:r>
          </w:p>
        </w:tc>
        <w:tc>
          <w:tcPr>
            <w:tcW w:type="dxa" w:w="1491"/>
            <w:tcBorders>
              <w:top w:val="single" w:color="D9D4CB" w:sz="4"/>
              <w:left w:val="single" w:color="D9D4CB" w:sz="4"/>
              <w:bottom w:val="single" w:color="D9D4CB" w:sz="4"/>
              <w:right w:val="single" w:color="D9D4CB" w:sz="4"/>
            </w:tcBorders>
            <w:shd w:fill="E7F6EC" w:color="auto" w:val="clear"/>
            <w:tcMar>
              <w:top w:type="dxa" w:w="80"/>
              <w:left w:type="dxa" w:w="110"/>
              <w:bottom w:type="dxa" w:w="80"/>
              <w:right w:type="dxa" w:w="110"/>
            </w:tcMar>
            <w:vAlign w:val="top"/>
          </w:tcPr>
          <w:p>
            <w:pPr>
              <w:spacing w:after="40" w:line="260"/>
            </w:pPr>
            <w:r>
              <w:rPr>
                <w:rFonts w:ascii="Arial" w:cs="Arial" w:eastAsia="Arial" w:hAnsi="Arial"/>
                <w:b/>
                <w:bCs/>
                <w:color w:val="067647"/>
                <w:sz w:val="18"/>
                <w:szCs w:val="18"/>
              </w:rPr>
              <w:t xml:space="preserve">Stated</w:t>
            </w:r>
          </w:p>
        </w:tc>
      </w:tr>
      <w:tr>
        <w:trPr>
          <w:cantSplit/>
        </w:trPr>
        <w:tc>
          <w:tcPr>
            <w:tcW w:type="dxa" w:w="229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Who is the customer?</w:t>
            </w:r>
          </w:p>
        </w:tc>
        <w:tc>
          <w:tcPr>
            <w:tcW w:type="dxa" w:w="5962"/>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"Usually the residential guys"; commercial interest is F&amp;B (cafés, restaurants), not offices.</w:t>
            </w:r>
          </w:p>
        </w:tc>
        <w:tc>
          <w:tcPr>
            <w:tcW w:type="dxa" w:w="1491"/>
            <w:tcBorders>
              <w:top w:val="single" w:color="D9D4CB" w:sz="4"/>
              <w:left w:val="single" w:color="D9D4CB" w:sz="4"/>
              <w:bottom w:val="single" w:color="D9D4CB" w:sz="4"/>
              <w:right w:val="single" w:color="D9D4CB" w:sz="4"/>
            </w:tcBorders>
            <w:shd w:fill="E7F6EC" w:color="auto" w:val="clear"/>
            <w:tcMar>
              <w:top w:type="dxa" w:w="80"/>
              <w:left w:type="dxa" w:w="110"/>
              <w:bottom w:type="dxa" w:w="80"/>
              <w:right w:type="dxa" w:w="110"/>
            </w:tcMar>
            <w:vAlign w:val="top"/>
          </w:tcPr>
          <w:p>
            <w:pPr>
              <w:spacing w:after="40" w:line="260"/>
            </w:pPr>
            <w:r>
              <w:rPr>
                <w:rFonts w:ascii="Arial" w:cs="Arial" w:eastAsia="Arial" w:hAnsi="Arial"/>
                <w:b/>
                <w:bCs/>
                <w:color w:val="067647"/>
                <w:sz w:val="18"/>
                <w:szCs w:val="18"/>
              </w:rPr>
              <w:t xml:space="preserve">Stated</w:t>
            </w:r>
          </w:p>
        </w:tc>
      </w:tr>
      <w:tr>
        <w:trPr>
          <w:cantSplit/>
        </w:trPr>
        <w:tc>
          <w:tcPr>
            <w:tcW w:type="dxa" w:w="2293"/>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What gets in the way?</w:t>
            </w:r>
          </w:p>
        </w:tc>
        <w:tc>
          <w:tcPr>
            <w:tcW w:type="dxa" w:w="5962"/>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Qualification — separating people who want a designer from people who only want a contractor, since contractors offer design free.</w:t>
            </w:r>
          </w:p>
        </w:tc>
        <w:tc>
          <w:tcPr>
            <w:tcW w:type="dxa" w:w="1491"/>
            <w:tcBorders>
              <w:top w:val="single" w:color="D9D4CB" w:sz="4"/>
              <w:left w:val="single" w:color="D9D4CB" w:sz="4"/>
              <w:bottom w:val="single" w:color="D9D4CB" w:sz="4"/>
              <w:right w:val="single" w:color="D9D4CB" w:sz="4"/>
            </w:tcBorders>
            <w:shd w:fill="E7F6EC" w:color="auto" w:val="clear"/>
            <w:tcMar>
              <w:top w:type="dxa" w:w="80"/>
              <w:left w:type="dxa" w:w="110"/>
              <w:bottom w:type="dxa" w:w="80"/>
              <w:right w:type="dxa" w:w="110"/>
            </w:tcMar>
            <w:vAlign w:val="top"/>
          </w:tcPr>
          <w:p>
            <w:pPr>
              <w:spacing w:after="40" w:line="260"/>
            </w:pPr>
            <w:r>
              <w:rPr>
                <w:rFonts w:ascii="Arial" w:cs="Arial" w:eastAsia="Arial" w:hAnsi="Arial"/>
                <w:b/>
                <w:bCs/>
                <w:color w:val="067647"/>
                <w:sz w:val="18"/>
                <w:szCs w:val="18"/>
              </w:rPr>
              <w:t xml:space="preserve">Stated</w:t>
            </w:r>
          </w:p>
        </w:tc>
      </w:tr>
      <w:tr>
        <w:trPr>
          <w:cantSplit/>
        </w:trPr>
        <w:tc>
          <w:tcPr>
            <w:tcW w:type="dxa" w:w="229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What has been tried?</w:t>
            </w:r>
          </w:p>
        </w:tc>
        <w:tc>
          <w:tcPr>
            <w:tcW w:type="dxa" w:w="5962"/>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Google Ads at ~AED 5,000/month, "not tailored to a particular outcome"; experience "quite bad".</w:t>
            </w:r>
          </w:p>
        </w:tc>
        <w:tc>
          <w:tcPr>
            <w:tcW w:type="dxa" w:w="1491"/>
            <w:tcBorders>
              <w:top w:val="single" w:color="D9D4CB" w:sz="4"/>
              <w:left w:val="single" w:color="D9D4CB" w:sz="4"/>
              <w:bottom w:val="single" w:color="D9D4CB" w:sz="4"/>
              <w:right w:val="single" w:color="D9D4CB" w:sz="4"/>
            </w:tcBorders>
            <w:shd w:fill="E7F6EC" w:color="auto" w:val="clear"/>
            <w:tcMar>
              <w:top w:type="dxa" w:w="80"/>
              <w:left w:type="dxa" w:w="110"/>
              <w:bottom w:type="dxa" w:w="80"/>
              <w:right w:type="dxa" w:w="110"/>
            </w:tcMar>
            <w:vAlign w:val="top"/>
          </w:tcPr>
          <w:p>
            <w:pPr>
              <w:spacing w:after="40" w:line="260"/>
            </w:pPr>
            <w:r>
              <w:rPr>
                <w:rFonts w:ascii="Arial" w:cs="Arial" w:eastAsia="Arial" w:hAnsi="Arial"/>
                <w:b/>
                <w:bCs/>
                <w:color w:val="067647"/>
                <w:sz w:val="18"/>
                <w:szCs w:val="18"/>
              </w:rPr>
              <w:t xml:space="preserve">Stated</w:t>
            </w:r>
          </w:p>
        </w:tc>
      </w:tr>
      <w:tr>
        <w:trPr>
          <w:cantSplit/>
        </w:trPr>
        <w:tc>
          <w:tcPr>
            <w:tcW w:type="dxa" w:w="2293"/>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What must the website do?</w:t>
            </w:r>
          </w:p>
        </w:tc>
        <w:tc>
          <w:tcPr>
            <w:tcW w:type="dxa" w:w="5962"/>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Turn ad and organic traffic into enquiries routed to the team (WhatsApp or CRM) so ad spend can fall over time as organic grows.</w:t>
            </w:r>
          </w:p>
        </w:tc>
        <w:tc>
          <w:tcPr>
            <w:tcW w:type="dxa" w:w="1491"/>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Proposed (not disputed)</w:t>
            </w:r>
          </w:p>
        </w:tc>
      </w:tr>
    </w:tbl>
    <w:p>
      <w:pPr>
        <w:spacing w:after="120"/>
      </w:pPr>
    </w:p>
    <w:p>
      <w:pPr>
        <w:pStyle w:val="Heading1"/>
        <w:pageBreakBefore/>
      </w:pPr>
      <w:r>
        <w:rPr>
          <w:rFonts w:ascii="Arial" w:cs="Arial" w:eastAsia="Arial" w:hAnsi="Arial"/>
        </w:rPr>
        <w:t xml:space="preserve">3. The business today</w:t>
      </w:r>
    </w:p>
    <w:p>
      <w:pPr>
        <w:pStyle w:val="Heading2"/>
        <w:keepNext/>
      </w:pPr>
      <w:r>
        <w:rPr>
          <w:rFonts w:ascii="Arial" w:cs="Arial" w:eastAsia="Arial" w:hAnsi="Arial"/>
        </w:rPr>
        <w:t xml:space="preserve">3.1 Company facts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7"/>
        <w:gridCol w:w="7039"/>
      </w:tblGrid>
      <w:tr>
        <w:trPr>
          <w:cantSplit/>
        </w:trPr>
        <w:tc>
          <w:tcPr>
            <w:tcW w:type="dxa" w:w="2707"/>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Name</w:t>
            </w:r>
          </w:p>
        </w:tc>
        <w:tc>
          <w:tcPr>
            <w:tcW w:type="dxa" w:w="703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Moori Interiors — Observed (website, LinkedIn)</w:t>
            </w:r>
          </w:p>
        </w:tc>
      </w:tr>
      <w:tr>
        <w:trPr>
          <w:cantSplit/>
        </w:trPr>
        <w:tc>
          <w:tcPr>
            <w:tcW w:type="dxa" w:w="2707"/>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Founded / type</w:t>
            </w:r>
          </w:p>
        </w:tc>
        <w:tc>
          <w:tcPr>
            <w:tcW w:type="dxa" w:w="703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2021; listed on LinkedIn as a sole proprietorship, 2–10 employees, 6 associated — Observed (LinkedIn)</w:t>
            </w:r>
          </w:p>
        </w:tc>
      </w:tr>
      <w:tr>
        <w:trPr>
          <w:cantSplit/>
        </w:trPr>
        <w:tc>
          <w:tcPr>
            <w:tcW w:type="dxa" w:w="2707"/>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Location</w:t>
            </w:r>
          </w:p>
        </w:tc>
        <w:tc>
          <w:tcPr>
            <w:tcW w:type="dxa" w:w="703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Dubai. Two addresses published: Office 304, Building A1, Emirates Sports Hotel Apartments, Sports City (About page, FAQ, structured data) and Office 003, Unit G020, Central Plaza Building, DIP 1 (footer on every page) — Observed</w:t>
            </w:r>
          </w:p>
        </w:tc>
      </w:tr>
      <w:tr>
        <w:trPr>
          <w:cantSplit/>
        </w:trPr>
        <w:tc>
          <w:tcPr>
            <w:tcW w:type="dxa" w:w="2707"/>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Service area</w:t>
            </w:r>
          </w:p>
        </w:tc>
        <w:tc>
          <w:tcPr>
            <w:tcW w:type="dxa" w:w="703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"Residential and commercial projects across all emirates", in person or online — Observed (FAQ). Portfolio includes Dubai and Yas Island, Abu Dhabi — Observed</w:t>
            </w:r>
          </w:p>
        </w:tc>
      </w:tr>
      <w:tr>
        <w:trPr>
          <w:cantSplit/>
        </w:trPr>
        <w:tc>
          <w:tcPr>
            <w:tcW w:type="dxa" w:w="2707"/>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Team</w:t>
            </w:r>
          </w:p>
        </w:tc>
        <w:tc>
          <w:tcPr>
            <w:tcW w:type="dxa" w:w="703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Sooraj Sekhar (Co-Founder; engineering background, 15 years' entrepreneurship); Shree Thulasi (Senior Interior Designer; 10+ years in the Middle East); Dilshad Backer (Architect); Mathew Ajith Simon (Architect); Naura Fathima (Operations Manager; manages website and social media) — Observed (About page)</w:t>
            </w:r>
          </w:p>
        </w:tc>
      </w:tr>
      <w:tr>
        <w:trPr>
          <w:cantSplit/>
        </w:trPr>
        <w:tc>
          <w:tcPr>
            <w:tcW w:type="dxa" w:w="2707"/>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Hours</w:t>
            </w:r>
          </w:p>
        </w:tc>
        <w:tc>
          <w:tcPr>
            <w:tcW w:type="dxa" w:w="703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Mon–Fri 10:00–18:00, Sat 10:00–15:00, Sun closed — Observed</w:t>
            </w:r>
          </w:p>
        </w:tc>
      </w:tr>
      <w:tr>
        <w:trPr>
          <w:cantSplit/>
        </w:trPr>
        <w:tc>
          <w:tcPr>
            <w:tcW w:type="dxa" w:w="2707"/>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Contact</w:t>
            </w:r>
          </w:p>
        </w:tc>
        <w:tc>
          <w:tcPr>
            <w:tcW w:type="dxa" w:w="703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+971 55 353 2729 · sooraj@moori.ae · WhatsApp — Observed</w:t>
            </w:r>
          </w:p>
        </w:tc>
      </w:tr>
      <w:tr>
        <w:trPr>
          <w:cantSplit/>
        </w:trPr>
        <w:tc>
          <w:tcPr>
            <w:tcW w:type="dxa" w:w="2707"/>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Google Business Profile</w:t>
            </w:r>
          </w:p>
        </w:tc>
        <w:tc>
          <w:tcPr>
            <w:tcW w:type="dxa" w:w="703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Listed as "Interior designer", Sports City address, 5.0 rating from 3 reviews — Observed (Google Maps via Apify)</w:t>
            </w:r>
          </w:p>
        </w:tc>
      </w:tr>
    </w:tbl>
    <w:p>
      <w:pPr>
        <w:spacing w:after="120"/>
      </w:pPr>
    </w:p>
    <w:p>
      <w:pPr>
        <w:pStyle w:val="Heading2"/>
        <w:keepNext/>
      </w:pPr>
      <w:r>
        <w:rPr>
          <w:rFonts w:ascii="Arial" w:cs="Arial" w:eastAsia="Arial" w:hAnsi="Arial"/>
        </w:rPr>
        <w:t xml:space="preserve">3.2 Positioning in Moori's own words</w:t>
      </w:r>
    </w:p>
    <w:p>
      <w:pPr>
        <w:pStyle w:val="ListParagraph"/>
        <w:numPr>
          <w:ilvl w:val="0"/>
          <w:numId w:val="2"/>
        </w:numPr>
        <w:spacing w:after="80" w:line="290"/>
      </w:pPr>
      <w:r>
        <w:rPr>
          <w:rFonts w:ascii="Arial" w:cs="Arial" w:eastAsia="Arial" w:hAnsi="Arial"/>
          <w:color w:val="1E1E1E"/>
          <w:sz w:val="21"/>
          <w:szCs w:val="21"/>
        </w:rPr>
        <w:t xml:space="preserve">Homepage meta: "Luxury home interior design services in Dubai". Philosophy: Minimalism, Materiality, Experientialism ("Sense of Purpose / Presence / Balance") — Observed.</w:t>
      </w:r>
    </w:p>
    <w:p>
      <w:pPr>
        <w:pStyle w:val="ListParagraph"/>
        <w:numPr>
          <w:ilvl w:val="0"/>
          <w:numId w:val="2"/>
        </w:numPr>
        <w:spacing w:after="80" w:line="290"/>
      </w:pPr>
      <w:r>
        <w:rPr>
          <w:rFonts w:ascii="Arial" w:cs="Arial" w:eastAsia="Arial" w:hAnsi="Arial"/>
          <w:color w:val="1E1E1E"/>
          <w:sz w:val="21"/>
          <w:szCs w:val="21"/>
        </w:rPr>
        <w:t xml:space="preserve">"Participatory design experience" — homes "co-created" with clients; the homepage names the client apprehension it answers: designers not sharing their language, emotional nuance, generational realities and future aspirations — Observed.</w:t>
      </w:r>
    </w:p>
    <w:p>
      <w:pPr>
        <w:pStyle w:val="ListParagraph"/>
        <w:numPr>
          <w:ilvl w:val="0"/>
          <w:numId w:val="2"/>
        </w:numPr>
        <w:spacing w:after="80" w:line="290"/>
      </w:pPr>
      <w:r>
        <w:rPr>
          <w:rFonts w:ascii="Arial" w:cs="Arial" w:eastAsia="Arial" w:hAnsi="Arial"/>
          <w:color w:val="1E1E1E"/>
          <w:sz w:val="21"/>
          <w:szCs w:val="21"/>
        </w:rPr>
        <w:t xml:space="preserve">Differentiator in the FAQ: not limited by a "founder's design" aesthetic; works as a collective where each client is assigned a designer — Observed.</w:t>
      </w:r>
    </w:p>
    <w:p>
      <w:pPr>
        <w:pStyle w:val="ListParagraph"/>
        <w:numPr>
          <w:ilvl w:val="0"/>
          <w:numId w:val="2"/>
        </w:numPr>
        <w:spacing w:after="80" w:line="290"/>
      </w:pPr>
      <w:r>
        <w:rPr>
          <w:rFonts w:ascii="Arial" w:cs="Arial" w:eastAsia="Arial" w:hAnsi="Arial"/>
          <w:color w:val="1E1E1E"/>
          <w:sz w:val="21"/>
          <w:szCs w:val="21"/>
        </w:rPr>
        <w:t xml:space="preserve">Style: avoids trend-led solutions; emphasis on materials and proportion; all projects custom, no templates — Observed.</w:t>
      </w:r>
    </w:p>
    <w:p>
      <w:pPr>
        <w:pStyle w:val="ListParagraph"/>
        <w:numPr>
          <w:ilvl w:val="0"/>
          <w:numId w:val="2"/>
        </w:numPr>
        <w:spacing w:after="80" w:line="290"/>
      </w:pPr>
      <w:r>
        <w:rPr>
          <w:rFonts w:ascii="Arial" w:cs="Arial" w:eastAsia="Arial" w:hAnsi="Arial"/>
          <w:color w:val="1E1E1E"/>
          <w:sz w:val="21"/>
          <w:szCs w:val="21"/>
        </w:rPr>
        <w:t xml:space="preserve">Pricing page language: partners with "discerning homeowners" seeking high-end residential design — Observed.</w:t>
      </w:r>
    </w:p>
    <w:p>
      <w:pPr>
        <w:pStyle w:val="Heading2"/>
        <w:keepNext/>
      </w:pPr>
      <w:r>
        <w:rPr>
          <w:rFonts w:ascii="Arial" w:cs="Arial" w:eastAsia="Arial" w:hAnsi="Arial"/>
        </w:rPr>
        <w:t xml:space="preserve">3.3 Services and fees (published)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66"/>
        <w:gridCol w:w="5666"/>
        <w:gridCol w:w="1814"/>
      </w:tblGrid>
      <w:tr>
        <w:trPr>
          <w:tblHeader/>
        </w:trPr>
        <w:tc>
          <w:tcPr>
            <w:tcW w:type="dxa" w:w="2266"/>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Offer</w:t>
            </w:r>
          </w:p>
        </w:tc>
        <w:tc>
          <w:tcPr>
            <w:tcW w:type="dxa" w:w="5666"/>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Published detail</w:t>
            </w:r>
          </w:p>
        </w:tc>
        <w:tc>
          <w:tcPr>
            <w:tcW w:type="dxa" w:w="1814"/>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Tag</w:t>
            </w:r>
          </w:p>
        </w:tc>
      </w:tr>
      <w:tr>
        <w:trPr>
          <w:cantSplit/>
        </w:trPr>
        <w:tc>
          <w:tcPr>
            <w:tcW w:type="dxa" w:w="226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Design consultation tier</w:t>
            </w:r>
          </w:p>
        </w:tc>
        <w:tc>
          <w:tcPr>
            <w:tcW w:type="dxa" w:w="566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AED 12,000 – 40,000: mood boards, spatial layouts, initial renders, creative direction, FF&amp;E package</w:t>
            </w:r>
          </w:p>
        </w:tc>
        <w:tc>
          <w:tcPr>
            <w:tcW w:type="dxa" w:w="1814"/>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Observed (pricing table image)</w:t>
            </w:r>
          </w:p>
        </w:tc>
      </w:tr>
      <w:tr>
        <w:trPr>
          <w:cantSplit/>
        </w:trPr>
        <w:tc>
          <w:tcPr>
            <w:tcW w:type="dxa" w:w="2266"/>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Turnkey projects</w:t>
            </w:r>
          </w:p>
        </w:tc>
        <w:tc>
          <w:tcPr>
            <w:tcW w:type="dxa" w:w="5666"/>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Starting from AED 100,000: design consultation and full implementation</w:t>
            </w:r>
          </w:p>
        </w:tc>
        <w:tc>
          <w:tcPr>
            <w:tcW w:type="dxa" w:w="1814"/>
            <w:tcBorders>
              <w:top w:val="single" w:color="D9D4CB" w:sz="4"/>
              <w:left w:val="single" w:color="D9D4CB" w:sz="4"/>
              <w:bottom w:val="single" w:color="D9D4CB" w:sz="4"/>
              <w:right w:val="single" w:color="D9D4CB" w:sz="4"/>
            </w:tcBorders>
            <w:shd w:fill="EAF0FD" w:color="auto" w:val="clear"/>
            <w:tcMar>
              <w:top w:type="dxa" w:w="80"/>
              <w:left w:type="dxa" w:w="110"/>
              <w:bottom w:type="dxa" w:w="80"/>
              <w:right w:type="dxa" w:w="110"/>
            </w:tcMar>
            <w:vAlign w:val="top"/>
          </w:tcPr>
          <w:p>
            <w:pPr>
              <w:spacing w:after="40" w:line="260"/>
            </w:pPr>
            <w:r>
              <w:rPr>
                <w:rFonts w:ascii="Arial" w:cs="Arial" w:eastAsia="Arial" w:hAnsi="Arial"/>
                <w:b/>
                <w:bCs/>
                <w:color w:val="1D4ED8"/>
                <w:sz w:val="18"/>
                <w:szCs w:val="18"/>
              </w:rPr>
              <w:t xml:space="preserve">Observed</w:t>
            </w:r>
          </w:p>
        </w:tc>
      </w:tr>
      <w:tr>
        <w:trPr>
          <w:cantSplit/>
        </w:trPr>
        <w:tc>
          <w:tcPr>
            <w:tcW w:type="dxa" w:w="226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Procurement and styling</w:t>
            </w:r>
          </w:p>
        </w:tc>
        <w:tc>
          <w:tcPr>
            <w:tcW w:type="dxa" w:w="566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Starting from AED 1,000 per space</w:t>
            </w:r>
          </w:p>
        </w:tc>
        <w:tc>
          <w:tcPr>
            <w:tcW w:type="dxa" w:w="1814"/>
            <w:tcBorders>
              <w:top w:val="single" w:color="D9D4CB" w:sz="4"/>
              <w:left w:val="single" w:color="D9D4CB" w:sz="4"/>
              <w:bottom w:val="single" w:color="D9D4CB" w:sz="4"/>
              <w:right w:val="single" w:color="D9D4CB" w:sz="4"/>
            </w:tcBorders>
            <w:shd w:fill="EAF0FD" w:color="auto" w:val="clear"/>
            <w:tcMar>
              <w:top w:type="dxa" w:w="80"/>
              <w:left w:type="dxa" w:w="110"/>
              <w:bottom w:type="dxa" w:w="80"/>
              <w:right w:type="dxa" w:w="110"/>
            </w:tcMar>
            <w:vAlign w:val="top"/>
          </w:tcPr>
          <w:p>
            <w:pPr>
              <w:spacing w:after="40" w:line="260"/>
            </w:pPr>
            <w:r>
              <w:rPr>
                <w:rFonts w:ascii="Arial" w:cs="Arial" w:eastAsia="Arial" w:hAnsi="Arial"/>
                <w:b/>
                <w:bCs/>
                <w:color w:val="1D4ED8"/>
                <w:sz w:val="18"/>
                <w:szCs w:val="18"/>
              </w:rPr>
              <w:t xml:space="preserve">Observed</w:t>
            </w:r>
          </w:p>
        </w:tc>
      </w:tr>
      <w:tr>
        <w:trPr>
          <w:cantSplit/>
        </w:trPr>
        <w:tc>
          <w:tcPr>
            <w:tcW w:type="dxa" w:w="2266"/>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Note on fee table</w:t>
            </w:r>
          </w:p>
        </w:tc>
        <w:tc>
          <w:tcPr>
            <w:tcW w:type="dxa" w:w="5666"/>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"Typically for 2–5 bedroom residences"</w:t>
            </w:r>
          </w:p>
        </w:tc>
        <w:tc>
          <w:tcPr>
            <w:tcW w:type="dxa" w:w="1814"/>
            <w:tcBorders>
              <w:top w:val="single" w:color="D9D4CB" w:sz="4"/>
              <w:left w:val="single" w:color="D9D4CB" w:sz="4"/>
              <w:bottom w:val="single" w:color="D9D4CB" w:sz="4"/>
              <w:right w:val="single" w:color="D9D4CB" w:sz="4"/>
            </w:tcBorders>
            <w:shd w:fill="EAF0FD" w:color="auto" w:val="clear"/>
            <w:tcMar>
              <w:top w:type="dxa" w:w="80"/>
              <w:left w:type="dxa" w:w="110"/>
              <w:bottom w:type="dxa" w:w="80"/>
              <w:right w:type="dxa" w:w="110"/>
            </w:tcMar>
            <w:vAlign w:val="top"/>
          </w:tcPr>
          <w:p>
            <w:pPr>
              <w:spacing w:after="40" w:line="260"/>
            </w:pPr>
            <w:r>
              <w:rPr>
                <w:rFonts w:ascii="Arial" w:cs="Arial" w:eastAsia="Arial" w:hAnsi="Arial"/>
                <w:b/>
                <w:bCs/>
                <w:color w:val="1D4ED8"/>
                <w:sz w:val="18"/>
                <w:szCs w:val="18"/>
              </w:rPr>
              <w:t xml:space="preserve">Observed</w:t>
            </w:r>
          </w:p>
        </w:tc>
      </w:tr>
      <w:tr>
        <w:trPr>
          <w:cantSplit/>
        </w:trPr>
        <w:tc>
          <w:tcPr>
            <w:tcW w:type="dxa" w:w="226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FAQ budget guidance</w:t>
            </w:r>
          </w:p>
        </w:tc>
        <w:tc>
          <w:tcPr>
            <w:tcW w:type="dxa" w:w="566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Luxury design "start at AED 20,000 for conceptual designs and can exceed AED 500,000 for turnkey projects"</w:t>
            </w:r>
          </w:p>
        </w:tc>
        <w:tc>
          <w:tcPr>
            <w:tcW w:type="dxa" w:w="1814"/>
            <w:tcBorders>
              <w:top w:val="single" w:color="D9D4CB" w:sz="4"/>
              <w:left w:val="single" w:color="D9D4CB" w:sz="4"/>
              <w:bottom w:val="single" w:color="D9D4CB" w:sz="4"/>
              <w:right w:val="single" w:color="D9D4CB" w:sz="4"/>
            </w:tcBorders>
            <w:shd w:fill="EAF0FD" w:color="auto" w:val="clear"/>
            <w:tcMar>
              <w:top w:type="dxa" w:w="80"/>
              <w:left w:type="dxa" w:w="110"/>
              <w:bottom w:type="dxa" w:w="80"/>
              <w:right w:type="dxa" w:w="110"/>
            </w:tcMar>
            <w:vAlign w:val="top"/>
          </w:tcPr>
          <w:p>
            <w:pPr>
              <w:spacing w:after="40" w:line="260"/>
            </w:pPr>
            <w:r>
              <w:rPr>
                <w:rFonts w:ascii="Arial" w:cs="Arial" w:eastAsia="Arial" w:hAnsi="Arial"/>
                <w:b/>
                <w:bCs/>
                <w:color w:val="1D4ED8"/>
                <w:sz w:val="18"/>
                <w:szCs w:val="18"/>
              </w:rPr>
              <w:t xml:space="preserve">Observed</w:t>
            </w:r>
          </w:p>
        </w:tc>
      </w:tr>
      <w:tr>
        <w:trPr>
          <w:cantSplit/>
        </w:trPr>
        <w:tc>
          <w:tcPr>
            <w:tcW w:type="dxa" w:w="2266"/>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Structured data</w:t>
            </w:r>
          </w:p>
        </w:tc>
        <w:tc>
          <w:tcPr>
            <w:tcW w:type="dxa" w:w="5666"/>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priceRange "AED 25,000+"</w:t>
            </w:r>
          </w:p>
        </w:tc>
        <w:tc>
          <w:tcPr>
            <w:tcW w:type="dxa" w:w="1814"/>
            <w:tcBorders>
              <w:top w:val="single" w:color="D9D4CB" w:sz="4"/>
              <w:left w:val="single" w:color="D9D4CB" w:sz="4"/>
              <w:bottom w:val="single" w:color="D9D4CB" w:sz="4"/>
              <w:right w:val="single" w:color="D9D4CB" w:sz="4"/>
            </w:tcBorders>
            <w:shd w:fill="EAF0FD" w:color="auto" w:val="clear"/>
            <w:tcMar>
              <w:top w:type="dxa" w:w="80"/>
              <w:left w:type="dxa" w:w="110"/>
              <w:bottom w:type="dxa" w:w="80"/>
              <w:right w:type="dxa" w:w="110"/>
            </w:tcMar>
            <w:vAlign w:val="top"/>
          </w:tcPr>
          <w:p>
            <w:pPr>
              <w:spacing w:after="40" w:line="260"/>
            </w:pPr>
            <w:r>
              <w:rPr>
                <w:rFonts w:ascii="Arial" w:cs="Arial" w:eastAsia="Arial" w:hAnsi="Arial"/>
                <w:b/>
                <w:bCs/>
                <w:color w:val="1D4ED8"/>
                <w:sz w:val="18"/>
                <w:szCs w:val="18"/>
              </w:rPr>
              <w:t xml:space="preserve">Observed</w:t>
            </w:r>
          </w:p>
        </w:tc>
      </w:tr>
      <w:tr>
        <w:trPr>
          <w:cantSplit/>
        </w:trPr>
        <w:tc>
          <w:tcPr>
            <w:tcW w:type="dxa" w:w="226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Other services</w:t>
            </w:r>
          </w:p>
        </w:tc>
        <w:tc>
          <w:tcPr>
            <w:tcW w:type="dxa" w:w="566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Home design consultation, fit-out &amp; contracting (turnkey), home renovation (interior and exterior), custom furniture incl. furniture-only projects, landscape design</w:t>
            </w:r>
          </w:p>
        </w:tc>
        <w:tc>
          <w:tcPr>
            <w:tcW w:type="dxa" w:w="1814"/>
            <w:tcBorders>
              <w:top w:val="single" w:color="D9D4CB" w:sz="4"/>
              <w:left w:val="single" w:color="D9D4CB" w:sz="4"/>
              <w:bottom w:val="single" w:color="D9D4CB" w:sz="4"/>
              <w:right w:val="single" w:color="D9D4CB" w:sz="4"/>
            </w:tcBorders>
            <w:shd w:fill="EAF0FD" w:color="auto" w:val="clear"/>
            <w:tcMar>
              <w:top w:type="dxa" w:w="80"/>
              <w:left w:type="dxa" w:w="110"/>
              <w:bottom w:type="dxa" w:w="80"/>
              <w:right w:type="dxa" w:w="110"/>
            </w:tcMar>
            <w:vAlign w:val="top"/>
          </w:tcPr>
          <w:p>
            <w:pPr>
              <w:spacing w:after="40" w:line="260"/>
            </w:pPr>
            <w:r>
              <w:rPr>
                <w:rFonts w:ascii="Arial" w:cs="Arial" w:eastAsia="Arial" w:hAnsi="Arial"/>
                <w:b/>
                <w:bCs/>
                <w:color w:val="1D4ED8"/>
                <w:sz w:val="18"/>
                <w:szCs w:val="18"/>
              </w:rPr>
              <w:t xml:space="preserve">Observed</w:t>
            </w:r>
          </w:p>
        </w:tc>
      </w:tr>
      <w:tr>
        <w:trPr>
          <w:cantSplit/>
        </w:trPr>
        <w:tc>
          <w:tcPr>
            <w:tcW w:type="dxa" w:w="2266"/>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Free entry offer</w:t>
            </w:r>
          </w:p>
        </w:tc>
        <w:tc>
          <w:tcPr>
            <w:tcW w:type="dxa" w:w="5666"/>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Complimentary consultation, online or in person: style and needs, initial direction and material guidance, next steps</w:t>
            </w:r>
          </w:p>
        </w:tc>
        <w:tc>
          <w:tcPr>
            <w:tcW w:type="dxa" w:w="1814"/>
            <w:tcBorders>
              <w:top w:val="single" w:color="D9D4CB" w:sz="4"/>
              <w:left w:val="single" w:color="D9D4CB" w:sz="4"/>
              <w:bottom w:val="single" w:color="D9D4CB" w:sz="4"/>
              <w:right w:val="single" w:color="D9D4CB" w:sz="4"/>
            </w:tcBorders>
            <w:shd w:fill="EAF0FD" w:color="auto" w:val="clear"/>
            <w:tcMar>
              <w:top w:type="dxa" w:w="80"/>
              <w:left w:type="dxa" w:w="110"/>
              <w:bottom w:type="dxa" w:w="80"/>
              <w:right w:type="dxa" w:w="110"/>
            </w:tcMar>
            <w:vAlign w:val="top"/>
          </w:tcPr>
          <w:p>
            <w:pPr>
              <w:spacing w:after="40" w:line="260"/>
            </w:pPr>
            <w:r>
              <w:rPr>
                <w:rFonts w:ascii="Arial" w:cs="Arial" w:eastAsia="Arial" w:hAnsi="Arial"/>
                <w:b/>
                <w:bCs/>
                <w:color w:val="1D4ED8"/>
                <w:sz w:val="18"/>
                <w:szCs w:val="18"/>
              </w:rPr>
              <w:t xml:space="preserve">Observed</w:t>
            </w:r>
          </w:p>
        </w:tc>
      </w:tr>
      <w:tr>
        <w:trPr>
          <w:cantSplit/>
        </w:trPr>
        <w:tc>
          <w:tcPr>
            <w:tcW w:type="dxa" w:w="226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Timelines</w:t>
            </w:r>
          </w:p>
        </w:tc>
        <w:tc>
          <w:tcPr>
            <w:tcW w:type="dxa" w:w="566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Design development 3–5 weeks; execution 2–6 months; concept phase 2–4 weeks</w:t>
            </w:r>
          </w:p>
        </w:tc>
        <w:tc>
          <w:tcPr>
            <w:tcW w:type="dxa" w:w="1814"/>
            <w:tcBorders>
              <w:top w:val="single" w:color="D9D4CB" w:sz="4"/>
              <w:left w:val="single" w:color="D9D4CB" w:sz="4"/>
              <w:bottom w:val="single" w:color="D9D4CB" w:sz="4"/>
              <w:right w:val="single" w:color="D9D4CB" w:sz="4"/>
            </w:tcBorders>
            <w:shd w:fill="EAF0FD" w:color="auto" w:val="clear"/>
            <w:tcMar>
              <w:top w:type="dxa" w:w="80"/>
              <w:left w:type="dxa" w:w="110"/>
              <w:bottom w:type="dxa" w:w="80"/>
              <w:right w:type="dxa" w:w="110"/>
            </w:tcMar>
            <w:vAlign w:val="top"/>
          </w:tcPr>
          <w:p>
            <w:pPr>
              <w:spacing w:after="40" w:line="260"/>
            </w:pPr>
            <w:r>
              <w:rPr>
                <w:rFonts w:ascii="Arial" w:cs="Arial" w:eastAsia="Arial" w:hAnsi="Arial"/>
                <w:b/>
                <w:bCs/>
                <w:color w:val="1D4ED8"/>
                <w:sz w:val="18"/>
                <w:szCs w:val="18"/>
              </w:rPr>
              <w:t xml:space="preserve">Observed</w:t>
            </w:r>
          </w:p>
        </w:tc>
      </w:tr>
    </w:tbl>
    <w:p>
      <w:pPr>
        <w:spacing w:after="120"/>
      </w:pPr>
    </w:p>
    <w:p>
      <w:pPr>
        <w:pStyle w:val="Heading2"/>
        <w:keepNext/>
      </w:pPr>
      <w:r>
        <w:rPr>
          <w:rFonts w:ascii="Arial" w:cs="Arial" w:eastAsia="Arial" w:hAnsi="Arial"/>
        </w:rPr>
        <w:t xml:space="preserve">3.4 Proof Moori already owns</w:t>
      </w:r>
    </w:p>
    <w:p>
      <w:pPr>
        <w:pStyle w:val="ListParagraph"/>
        <w:numPr>
          <w:ilvl w:val="0"/>
          <w:numId w:val="2"/>
        </w:numPr>
        <w:spacing w:after="80" w:line="290"/>
      </w:pPr>
      <w:r>
        <w:rPr>
          <w:rFonts w:ascii="Arial" w:cs="Arial" w:eastAsia="Arial" w:hAnsi="Arial"/>
          <w:b/>
          <w:bCs/>
          <w:color w:val="1E1E1E"/>
          <w:sz w:val="21"/>
          <w:szCs w:val="21"/>
        </w:rPr>
        <w:t xml:space="preserve">Press &amp; awards:</w:t>
      </w:r>
      <w:r>
        <w:rPr>
          <w:rFonts w:ascii="Arial" w:cs="Arial" w:eastAsia="Arial" w:hAnsi="Arial"/>
          <w:color w:val="1E1E1E"/>
          <w:sz w:val="21"/>
          <w:szCs w:val="21"/>
        </w:rPr>
        <w:t xml:space="preserve"> Architectural Digest Middle East feature (July 2025); Table-Scape — finalist, ISOLA Awards 2024; Shift Chaise — UAE Designer 5.0 collection, Dubai Design Week 2024; House of the Future entries 2024 and 2025 — Observed.</w:t>
      </w:r>
    </w:p>
    <w:p>
      <w:pPr>
        <w:pStyle w:val="ListParagraph"/>
        <w:numPr>
          <w:ilvl w:val="0"/>
          <w:numId w:val="2"/>
        </w:numPr>
        <w:spacing w:after="80" w:line="290"/>
      </w:pPr>
      <w:r>
        <w:rPr>
          <w:rFonts w:ascii="Arial" w:cs="Arial" w:eastAsia="Arial" w:hAnsi="Arial"/>
          <w:b/>
          <w:bCs/>
          <w:color w:val="1E1E1E"/>
          <w:sz w:val="21"/>
          <w:szCs w:val="21"/>
        </w:rPr>
        <w:t xml:space="preserve">Testimonials (4, on the consultation page):</w:t>
      </w:r>
      <w:r>
        <w:rPr>
          <w:rFonts w:ascii="Arial" w:cs="Arial" w:eastAsia="Arial" w:hAnsi="Arial"/>
          <w:color w:val="1E1E1E"/>
          <w:sz w:val="21"/>
          <w:szCs w:val="21"/>
        </w:rPr>
        <w:t xml:space="preserve"> Vineet Israni; Nithu Joseph; Mahitha Balakrishnan (multigenerational household); Shikha (DAMAC Hills home, owner based mostly in Germany). Themes: feeling heard, non-pushy approach, transparency on finances and budgets, prompt timelines, one-of-a-kind sourcing, an onboarding workshop — Observed.</w:t>
      </w:r>
    </w:p>
    <w:p>
      <w:pPr>
        <w:pStyle w:val="ListParagraph"/>
        <w:numPr>
          <w:ilvl w:val="0"/>
          <w:numId w:val="2"/>
        </w:numPr>
        <w:spacing w:after="80" w:line="290"/>
      </w:pPr>
      <w:r>
        <w:rPr>
          <w:rFonts w:ascii="Arial" w:cs="Arial" w:eastAsia="Arial" w:hAnsi="Arial"/>
          <w:b/>
          <w:bCs/>
          <w:color w:val="1E1E1E"/>
          <w:sz w:val="21"/>
          <w:szCs w:val="21"/>
        </w:rPr>
        <w:t xml:space="preserve">Delivered work by community (project pages):</w:t>
      </w:r>
      <w:r>
        <w:rPr>
          <w:rFonts w:ascii="Arial" w:cs="Arial" w:eastAsia="Arial" w:hAnsi="Arial"/>
          <w:color w:val="1E1E1E"/>
          <w:sz w:val="21"/>
          <w:szCs w:val="21"/>
        </w:rPr>
        <w:t xml:space="preserve"> DAMAC Hills (Whitefield villa, 2025); Jumeirah Golf Estates villa (2024); Al Barari Desert Leaf villa (2024); Nadd Al Sheba villa (2025); Botanica Tower, Dubai Marina apartment (2025); Al Seef Tower, Dubai Marina apartment (2024); Tilal Al Ghaf townhouse and villa (2025); landscapes at The Trump Estates and Yas Noya (2025); F&amp;B: Savane and Levante (2024); Orvi showroom, Al Quoz — Observed.</w:t>
      </w:r>
    </w:p>
    <w:p>
      <w:pPr>
        <w:pStyle w:val="ListParagraph"/>
        <w:numPr>
          <w:ilvl w:val="0"/>
          <w:numId w:val="2"/>
        </w:numPr>
        <w:spacing w:after="80" w:line="290"/>
      </w:pPr>
      <w:r>
        <w:rPr>
          <w:rFonts w:ascii="Arial" w:cs="Arial" w:eastAsia="Arial" w:hAnsi="Arial"/>
          <w:b/>
          <w:bCs/>
          <w:color w:val="1E1E1E"/>
          <w:sz w:val="21"/>
          <w:szCs w:val="21"/>
        </w:rPr>
        <w:t xml:space="preserve">Instagram-only projects:</w:t>
      </w:r>
      <w:r>
        <w:rPr>
          <w:rFonts w:ascii="Arial" w:cs="Arial" w:eastAsia="Arial" w:hAnsi="Arial"/>
          <w:color w:val="1E1E1E"/>
          <w:sz w:val="21"/>
          <w:szCs w:val="21"/>
        </w:rPr>
        <w:t xml:space="preserve"> Mudon villa landscape (Aug 2026); Contemporary Parisian apartment, Green Community West, DIP (in progress, Sep 2026); private villas in Yas Island and DAMAC Hills shown as process stages (Apr 2025) — Observed.</w:t>
      </w:r>
    </w:p>
    <w:p>
      <w:pPr>
        <w:pStyle w:val="Heading1"/>
        <w:pageBreakBefore/>
      </w:pPr>
      <w:r>
        <w:rPr>
          <w:rFonts w:ascii="Arial" w:cs="Arial" w:eastAsia="Arial" w:hAnsi="Arial"/>
        </w:rPr>
        <w:t xml:space="preserve">4. Business objectives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92"/>
        <w:gridCol w:w="5116"/>
        <w:gridCol w:w="974"/>
        <w:gridCol w:w="1464"/>
      </w:tblGrid>
      <w:tr>
        <w:trPr>
          <w:tblHeader/>
        </w:trPr>
        <w:tc>
          <w:tcPr>
            <w:tcW w:type="dxa" w:w="2192"/>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Objective</w:t>
            </w:r>
          </w:p>
        </w:tc>
        <w:tc>
          <w:tcPr>
            <w:tcW w:type="dxa" w:w="5116"/>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Detail</w:t>
            </w:r>
          </w:p>
        </w:tc>
        <w:tc>
          <w:tcPr>
            <w:tcW w:type="dxa" w:w="974"/>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Source</w:t>
            </w:r>
          </w:p>
        </w:tc>
        <w:tc>
          <w:tcPr>
            <w:tcW w:type="dxa" w:w="1464"/>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Tag</w:t>
            </w:r>
          </w:p>
        </w:tc>
      </w:tr>
      <w:tr>
        <w:trPr>
          <w:cantSplit/>
        </w:trPr>
        <w:tc>
          <w:tcPr>
            <w:tcW w:type="dxa" w:w="2192"/>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Qualified pipeline</w:t>
            </w:r>
          </w:p>
        </w:tc>
        <w:tc>
          <w:tcPr>
            <w:tcW w:type="dxa" w:w="511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10–15 qualified enquiries a month from ads or organic, excluding personal connections</w:t>
            </w:r>
          </w:p>
        </w:tc>
        <w:tc>
          <w:tcPr>
            <w:tcW w:type="dxa" w:w="974"/>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12:00</w:t>
            </w:r>
          </w:p>
        </w:tc>
        <w:tc>
          <w:tcPr>
            <w:tcW w:type="dxa" w:w="1464"/>
            <w:tcBorders>
              <w:top w:val="single" w:color="D9D4CB" w:sz="4"/>
              <w:left w:val="single" w:color="D9D4CB" w:sz="4"/>
              <w:bottom w:val="single" w:color="D9D4CB" w:sz="4"/>
              <w:right w:val="single" w:color="D9D4CB" w:sz="4"/>
            </w:tcBorders>
            <w:shd w:fill="E7F6EC" w:color="auto" w:val="clear"/>
            <w:tcMar>
              <w:top w:type="dxa" w:w="80"/>
              <w:left w:type="dxa" w:w="110"/>
              <w:bottom w:type="dxa" w:w="80"/>
              <w:right w:type="dxa" w:w="110"/>
            </w:tcMar>
            <w:vAlign w:val="top"/>
          </w:tcPr>
          <w:p>
            <w:pPr>
              <w:spacing w:after="40" w:line="260"/>
            </w:pPr>
            <w:r>
              <w:rPr>
                <w:rFonts w:ascii="Arial" w:cs="Arial" w:eastAsia="Arial" w:hAnsi="Arial"/>
                <w:b/>
                <w:bCs/>
                <w:color w:val="067647"/>
                <w:sz w:val="18"/>
                <w:szCs w:val="18"/>
              </w:rPr>
              <w:t xml:space="preserve">Stated</w:t>
            </w:r>
          </w:p>
        </w:tc>
      </w:tr>
      <w:tr>
        <w:trPr>
          <w:cantSplit/>
        </w:trPr>
        <w:tc>
          <w:tcPr>
            <w:tcW w:type="dxa" w:w="2192"/>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Growthmak aim</w:t>
            </w:r>
          </w:p>
        </w:tc>
        <w:tc>
          <w:tcPr>
            <w:tcW w:type="dxa" w:w="5116"/>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15 qualified leads a month "without anything from your personal side"</w:t>
            </w:r>
          </w:p>
        </w:tc>
        <w:tc>
          <w:tcPr>
            <w:tcW w:type="dxa" w:w="974"/>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12:15</w:t>
            </w:r>
          </w:p>
        </w:tc>
        <w:tc>
          <w:tcPr>
            <w:tcW w:type="dxa" w:w="1464"/>
            <w:tcBorders>
              <w:top w:val="single" w:color="D9D4CB" w:sz="4"/>
              <w:left w:val="single" w:color="D9D4CB" w:sz="4"/>
              <w:bottom w:val="single" w:color="D9D4CB" w:sz="4"/>
              <w:right w:val="single" w:color="D9D4CB" w:sz="4"/>
            </w:tcBorders>
            <w:shd w:fill="EEF0F3" w:color="auto" w:val="clear"/>
            <w:tcMar>
              <w:top w:type="dxa" w:w="80"/>
              <w:left w:type="dxa" w:w="110"/>
              <w:bottom w:type="dxa" w:w="80"/>
              <w:right w:type="dxa" w:w="110"/>
            </w:tcMar>
            <w:vAlign w:val="top"/>
          </w:tcPr>
          <w:p>
            <w:pPr>
              <w:spacing w:after="40" w:line="260"/>
            </w:pPr>
            <w:r>
              <w:rPr>
                <w:rFonts w:ascii="Arial" w:cs="Arial" w:eastAsia="Arial" w:hAnsi="Arial"/>
                <w:b/>
                <w:bCs/>
                <w:color w:val="5B6270"/>
                <w:sz w:val="18"/>
                <w:szCs w:val="18"/>
              </w:rPr>
              <w:t xml:space="preserve">Proposed</w:t>
            </w:r>
          </w:p>
        </w:tc>
      </w:tr>
      <w:tr>
        <w:trPr>
          <w:cantSplit/>
        </w:trPr>
        <w:tc>
          <w:tcPr>
            <w:tcW w:type="dxa" w:w="2192"/>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Source mix</w:t>
            </w:r>
          </w:p>
        </w:tc>
        <w:tc>
          <w:tcPr>
            <w:tcW w:type="dxa" w:w="511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Shift from ~80% referral to "a solid 50/50 or 40/60", referrals becoming the "icing on the cake"</w:t>
            </w:r>
          </w:p>
        </w:tc>
        <w:tc>
          <w:tcPr>
            <w:tcW w:type="dxa" w:w="974"/>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8:43</w:t>
            </w:r>
          </w:p>
        </w:tc>
        <w:tc>
          <w:tcPr>
            <w:tcW w:type="dxa" w:w="1464"/>
            <w:tcBorders>
              <w:top w:val="single" w:color="D9D4CB" w:sz="4"/>
              <w:left w:val="single" w:color="D9D4CB" w:sz="4"/>
              <w:bottom w:val="single" w:color="D9D4CB" w:sz="4"/>
              <w:right w:val="single" w:color="D9D4CB" w:sz="4"/>
            </w:tcBorders>
            <w:shd w:fill="EEF0F3" w:color="auto" w:val="clear"/>
            <w:tcMar>
              <w:top w:type="dxa" w:w="80"/>
              <w:left w:type="dxa" w:w="110"/>
              <w:bottom w:type="dxa" w:w="80"/>
              <w:right w:type="dxa" w:w="110"/>
            </w:tcMar>
            <w:vAlign w:val="top"/>
          </w:tcPr>
          <w:p>
            <w:pPr>
              <w:spacing w:after="40" w:line="260"/>
            </w:pPr>
            <w:r>
              <w:rPr>
                <w:rFonts w:ascii="Arial" w:cs="Arial" w:eastAsia="Arial" w:hAnsi="Arial"/>
                <w:b/>
                <w:bCs/>
                <w:color w:val="5B6270"/>
                <w:sz w:val="18"/>
                <w:szCs w:val="18"/>
              </w:rPr>
              <w:t xml:space="preserve">Proposed</w:t>
            </w:r>
          </w:p>
        </w:tc>
      </w:tr>
      <w:tr>
        <w:trPr>
          <w:cantSplit/>
        </w:trPr>
        <w:tc>
          <w:tcPr>
            <w:tcW w:type="dxa" w:w="2192"/>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Capacity</w:t>
            </w:r>
          </w:p>
        </w:tc>
        <w:tc>
          <w:tcPr>
            <w:tcW w:type="dxa" w:w="5116"/>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Bandwidth to take on more: "yes, we have the bandwidth"</w:t>
            </w:r>
          </w:p>
        </w:tc>
        <w:tc>
          <w:tcPr>
            <w:tcW w:type="dxa" w:w="974"/>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4:09</w:t>
            </w:r>
          </w:p>
        </w:tc>
        <w:tc>
          <w:tcPr>
            <w:tcW w:type="dxa" w:w="1464"/>
            <w:tcBorders>
              <w:top w:val="single" w:color="D9D4CB" w:sz="4"/>
              <w:left w:val="single" w:color="D9D4CB" w:sz="4"/>
              <w:bottom w:val="single" w:color="D9D4CB" w:sz="4"/>
              <w:right w:val="single" w:color="D9D4CB" w:sz="4"/>
            </w:tcBorders>
            <w:shd w:fill="E7F6EC" w:color="auto" w:val="clear"/>
            <w:tcMar>
              <w:top w:type="dxa" w:w="80"/>
              <w:left w:type="dxa" w:w="110"/>
              <w:bottom w:type="dxa" w:w="80"/>
              <w:right w:type="dxa" w:w="110"/>
            </w:tcMar>
            <w:vAlign w:val="top"/>
          </w:tcPr>
          <w:p>
            <w:pPr>
              <w:spacing w:after="40" w:line="260"/>
            </w:pPr>
            <w:r>
              <w:rPr>
                <w:rFonts w:ascii="Arial" w:cs="Arial" w:eastAsia="Arial" w:hAnsi="Arial"/>
                <w:b/>
                <w:bCs/>
                <w:color w:val="067647"/>
                <w:sz w:val="18"/>
                <w:szCs w:val="18"/>
              </w:rPr>
              <w:t xml:space="preserve">Stated</w:t>
            </w:r>
          </w:p>
        </w:tc>
      </w:tr>
      <w:tr>
        <w:trPr>
          <w:cantSplit/>
        </w:trPr>
        <w:tc>
          <w:tcPr>
            <w:tcW w:type="dxa" w:w="2192"/>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Value over volume</w:t>
            </w:r>
          </w:p>
        </w:tc>
        <w:tc>
          <w:tcPr>
            <w:tcW w:type="dxa" w:w="511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Scale is driven by project size, "not necessarily the count of the projects"</w:t>
            </w:r>
          </w:p>
        </w:tc>
        <w:tc>
          <w:tcPr>
            <w:tcW w:type="dxa" w:w="974"/>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4:09</w:t>
            </w:r>
          </w:p>
        </w:tc>
        <w:tc>
          <w:tcPr>
            <w:tcW w:type="dxa" w:w="1464"/>
            <w:tcBorders>
              <w:top w:val="single" w:color="D9D4CB" w:sz="4"/>
              <w:left w:val="single" w:color="D9D4CB" w:sz="4"/>
              <w:bottom w:val="single" w:color="D9D4CB" w:sz="4"/>
              <w:right w:val="single" w:color="D9D4CB" w:sz="4"/>
            </w:tcBorders>
            <w:shd w:fill="E7F6EC" w:color="auto" w:val="clear"/>
            <w:tcMar>
              <w:top w:type="dxa" w:w="80"/>
              <w:left w:type="dxa" w:w="110"/>
              <w:bottom w:type="dxa" w:w="80"/>
              <w:right w:type="dxa" w:w="110"/>
            </w:tcMar>
            <w:vAlign w:val="top"/>
          </w:tcPr>
          <w:p>
            <w:pPr>
              <w:spacing w:after="40" w:line="260"/>
            </w:pPr>
            <w:r>
              <w:rPr>
                <w:rFonts w:ascii="Arial" w:cs="Arial" w:eastAsia="Arial" w:hAnsi="Arial"/>
                <w:b/>
                <w:bCs/>
                <w:color w:val="067647"/>
                <w:sz w:val="18"/>
                <w:szCs w:val="18"/>
              </w:rPr>
              <w:t xml:space="preserve">Stated</w:t>
            </w:r>
          </w:p>
        </w:tc>
      </w:tr>
      <w:tr>
        <w:trPr>
          <w:cantSplit/>
        </w:trPr>
        <w:tc>
          <w:tcPr>
            <w:tcW w:type="dxa" w:w="2192"/>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Commercial growth</w:t>
            </w:r>
          </w:p>
        </w:tc>
        <w:tc>
          <w:tcPr>
            <w:tcW w:type="dxa" w:w="5116"/>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"Where we would like to be" within commercial is F&amp;B — cafés, restaurants</w:t>
            </w:r>
          </w:p>
        </w:tc>
        <w:tc>
          <w:tcPr>
            <w:tcW w:type="dxa" w:w="974"/>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8:23</w:t>
            </w:r>
          </w:p>
        </w:tc>
        <w:tc>
          <w:tcPr>
            <w:tcW w:type="dxa" w:w="1464"/>
            <w:tcBorders>
              <w:top w:val="single" w:color="D9D4CB" w:sz="4"/>
              <w:left w:val="single" w:color="D9D4CB" w:sz="4"/>
              <w:bottom w:val="single" w:color="D9D4CB" w:sz="4"/>
              <w:right w:val="single" w:color="D9D4CB" w:sz="4"/>
            </w:tcBorders>
            <w:shd w:fill="E7F6EC" w:color="auto" w:val="clear"/>
            <w:tcMar>
              <w:top w:type="dxa" w:w="80"/>
              <w:left w:type="dxa" w:w="110"/>
              <w:bottom w:type="dxa" w:w="80"/>
              <w:right w:type="dxa" w:w="110"/>
            </w:tcMar>
            <w:vAlign w:val="top"/>
          </w:tcPr>
          <w:p>
            <w:pPr>
              <w:spacing w:after="40" w:line="260"/>
            </w:pPr>
            <w:r>
              <w:rPr>
                <w:rFonts w:ascii="Arial" w:cs="Arial" w:eastAsia="Arial" w:hAnsi="Arial"/>
                <w:b/>
                <w:bCs/>
                <w:color w:val="067647"/>
                <w:sz w:val="18"/>
                <w:szCs w:val="18"/>
              </w:rPr>
              <w:t xml:space="preserve">Stated</w:t>
            </w:r>
          </w:p>
        </w:tc>
      </w:tr>
      <w:tr>
        <w:trPr>
          <w:cantSplit/>
        </w:trPr>
        <w:tc>
          <w:tcPr>
            <w:tcW w:type="dxa" w:w="2192"/>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Residential remains core</w:t>
            </w:r>
          </w:p>
        </w:tc>
        <w:tc>
          <w:tcPr>
            <w:tcW w:type="dxa" w:w="511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"Otherwise it would be usually the residential guys"</w:t>
            </w:r>
          </w:p>
        </w:tc>
        <w:tc>
          <w:tcPr>
            <w:tcW w:type="dxa" w:w="974"/>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8:23</w:t>
            </w:r>
          </w:p>
        </w:tc>
        <w:tc>
          <w:tcPr>
            <w:tcW w:type="dxa" w:w="1464"/>
            <w:tcBorders>
              <w:top w:val="single" w:color="D9D4CB" w:sz="4"/>
              <w:left w:val="single" w:color="D9D4CB" w:sz="4"/>
              <w:bottom w:val="single" w:color="D9D4CB" w:sz="4"/>
              <w:right w:val="single" w:color="D9D4CB" w:sz="4"/>
            </w:tcBorders>
            <w:shd w:fill="E7F6EC" w:color="auto" w:val="clear"/>
            <w:tcMar>
              <w:top w:type="dxa" w:w="80"/>
              <w:left w:type="dxa" w:w="110"/>
              <w:bottom w:type="dxa" w:w="80"/>
              <w:right w:type="dxa" w:w="110"/>
            </w:tcMar>
            <w:vAlign w:val="top"/>
          </w:tcPr>
          <w:p>
            <w:pPr>
              <w:spacing w:after="40" w:line="260"/>
            </w:pPr>
            <w:r>
              <w:rPr>
                <w:rFonts w:ascii="Arial" w:cs="Arial" w:eastAsia="Arial" w:hAnsi="Arial"/>
                <w:b/>
                <w:bCs/>
                <w:color w:val="067647"/>
                <w:sz w:val="18"/>
                <w:szCs w:val="18"/>
              </w:rPr>
              <w:t xml:space="preserve">Stated</w:t>
            </w:r>
          </w:p>
        </w:tc>
      </w:tr>
      <w:tr>
        <w:trPr>
          <w:cantSplit/>
        </w:trPr>
        <w:tc>
          <w:tcPr>
            <w:tcW w:type="dxa" w:w="2192"/>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Transparency from partner</w:t>
            </w:r>
          </w:p>
        </w:tc>
        <w:tc>
          <w:tcPr>
            <w:tcW w:type="dxa" w:w="5116"/>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Wants visibility into the strategy and process, not just a result on day 90</w:t>
            </w:r>
          </w:p>
        </w:tc>
        <w:tc>
          <w:tcPr>
            <w:tcW w:type="dxa" w:w="974"/>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21:31</w:t>
            </w:r>
          </w:p>
        </w:tc>
        <w:tc>
          <w:tcPr>
            <w:tcW w:type="dxa" w:w="1464"/>
            <w:tcBorders>
              <w:top w:val="single" w:color="D9D4CB" w:sz="4"/>
              <w:left w:val="single" w:color="D9D4CB" w:sz="4"/>
              <w:bottom w:val="single" w:color="D9D4CB" w:sz="4"/>
              <w:right w:val="single" w:color="D9D4CB" w:sz="4"/>
            </w:tcBorders>
            <w:shd w:fill="E7F6EC" w:color="auto" w:val="clear"/>
            <w:tcMar>
              <w:top w:type="dxa" w:w="80"/>
              <w:left w:type="dxa" w:w="110"/>
              <w:bottom w:type="dxa" w:w="80"/>
              <w:right w:type="dxa" w:w="110"/>
            </w:tcMar>
            <w:vAlign w:val="top"/>
          </w:tcPr>
          <w:p>
            <w:pPr>
              <w:spacing w:after="40" w:line="260"/>
            </w:pPr>
            <w:r>
              <w:rPr>
                <w:rFonts w:ascii="Arial" w:cs="Arial" w:eastAsia="Arial" w:hAnsi="Arial"/>
                <w:b/>
                <w:bCs/>
                <w:color w:val="067647"/>
                <w:sz w:val="18"/>
                <w:szCs w:val="18"/>
              </w:rPr>
              <w:t xml:space="preserve">Stated</w:t>
            </w:r>
          </w:p>
        </w:tc>
      </w:tr>
      <w:tr>
        <w:trPr>
          <w:cantSplit/>
        </w:trPr>
        <w:tc>
          <w:tcPr>
            <w:tcW w:type="dxa" w:w="2192"/>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Reduce ad dependence</w:t>
            </w:r>
          </w:p>
        </w:tc>
        <w:tc>
          <w:tcPr>
            <w:tcW w:type="dxa" w:w="511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Website + SEO so organic enquiries grow and ad spend can fall over time</w:t>
            </w:r>
          </w:p>
        </w:tc>
        <w:tc>
          <w:tcPr>
            <w:tcW w:type="dxa" w:w="974"/>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12:15</w:t>
            </w:r>
          </w:p>
        </w:tc>
        <w:tc>
          <w:tcPr>
            <w:tcW w:type="dxa" w:w="1464"/>
            <w:tcBorders>
              <w:top w:val="single" w:color="D9D4CB" w:sz="4"/>
              <w:left w:val="single" w:color="D9D4CB" w:sz="4"/>
              <w:bottom w:val="single" w:color="D9D4CB" w:sz="4"/>
              <w:right w:val="single" w:color="D9D4CB" w:sz="4"/>
            </w:tcBorders>
            <w:shd w:fill="EEF0F3" w:color="auto" w:val="clear"/>
            <w:tcMar>
              <w:top w:type="dxa" w:w="80"/>
              <w:left w:type="dxa" w:w="110"/>
              <w:bottom w:type="dxa" w:w="80"/>
              <w:right w:type="dxa" w:w="110"/>
            </w:tcMar>
            <w:vAlign w:val="top"/>
          </w:tcPr>
          <w:p>
            <w:pPr>
              <w:spacing w:after="40" w:line="260"/>
            </w:pPr>
            <w:r>
              <w:rPr>
                <w:rFonts w:ascii="Arial" w:cs="Arial" w:eastAsia="Arial" w:hAnsi="Arial"/>
                <w:b/>
                <w:bCs/>
                <w:color w:val="5B6270"/>
                <w:sz w:val="18"/>
                <w:szCs w:val="18"/>
              </w:rPr>
              <w:t xml:space="preserve">Proposed</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54708" w:sz="18"/>
              <w:left w:val="single" w:color="D9D4CB" w:sz="4"/>
              <w:bottom w:val="single" w:color="D9D4CB" w:sz="4"/>
              <w:right w:val="single" w:color="D9D4CB" w:sz="4"/>
            </w:tcBorders>
            <w:shd w:fill="FEF3E2" w:color="auto" w:val="clear"/>
            <w:tcMar>
              <w:top w:type="dxa" w:w="140"/>
              <w:left w:type="dxa" w:w="200"/>
              <w:bottom w:type="dxa" w:w="140"/>
              <w:right w:type="dxa" w:w="200"/>
            </w:tcMar>
          </w:tcPr>
          <w:p>
            <w:pPr>
              <w:spacing w:after="80"/>
            </w:pPr>
            <w:r>
              <w:rPr>
                <w:rFonts w:ascii="Arial" w:cs="Arial" w:eastAsia="Arial" w:hAnsi="Arial"/>
                <w:b/>
                <w:bCs/>
                <w:color w:val="B54708"/>
                <w:sz w:val="21"/>
                <w:szCs w:val="21"/>
              </w:rPr>
              <w:t xml:space="preserve">What "qualified" means — not yet defined</w:t>
            </w:r>
          </w:p>
          <w:p>
            <w:pPr>
              <w:spacing w:after="60" w:line="290"/>
            </w:pPr>
            <w:r>
              <w:rPr>
                <w:rFonts w:ascii="Arial" w:cs="Arial" w:eastAsia="Arial" w:hAnsi="Arial"/>
                <w:color w:val="1E1E1E"/>
                <w:sz w:val="20"/>
                <w:szCs w:val="20"/>
              </w:rPr>
              <w:t xml:space="preserve">Growthmak said qualified means no "substandard budget" and asked Moori for an average order value threshold. Moori has not yet given it (action item: "Send AOV/qualification thresholds + past ad spend to Vishnu"). Until it arrives, budget filters on the website must be configurable rather than fixed.</w:t>
            </w:r>
          </w:p>
        </w:tc>
      </w:tr>
    </w:tbl>
    <w:p>
      <w:pPr>
        <w:spacing w:after="160"/>
      </w:pPr>
    </w:p>
    <w:p>
      <w:pPr>
        <w:pStyle w:val="Heading1"/>
        <w:pageBreakBefore/>
      </w:pPr>
      <w:r>
        <w:rPr>
          <w:rFonts w:ascii="Arial" w:cs="Arial" w:eastAsia="Arial" w:hAnsi="Arial"/>
        </w:rPr>
        <w:t xml:space="preserve">5. Current acquisition and pipeline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19"/>
        <w:gridCol w:w="5666"/>
        <w:gridCol w:w="1361"/>
      </w:tblGrid>
      <w:tr>
        <w:trPr>
          <w:tblHeader/>
        </w:trPr>
        <w:tc>
          <w:tcPr>
            <w:tcW w:type="dxa" w:w="2719"/>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Metric</w:t>
            </w:r>
          </w:p>
        </w:tc>
        <w:tc>
          <w:tcPr>
            <w:tcW w:type="dxa" w:w="5666"/>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Value</w:t>
            </w:r>
          </w:p>
        </w:tc>
        <w:tc>
          <w:tcPr>
            <w:tcW w:type="dxa" w:w="1361"/>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Tag</w:t>
            </w:r>
          </w:p>
        </w:tc>
      </w:tr>
      <w:tr>
        <w:trPr>
          <w:cantSplit/>
        </w:trPr>
        <w:tc>
          <w:tcPr>
            <w:tcW w:type="dxa" w:w="271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Enquiries per month (all sources)</w:t>
            </w:r>
          </w:p>
        </w:tc>
        <w:tc>
          <w:tcPr>
            <w:tcW w:type="dxa" w:w="566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5–6</w:t>
            </w:r>
          </w:p>
        </w:tc>
        <w:tc>
          <w:tcPr>
            <w:tcW w:type="dxa" w:w="1361"/>
            <w:tcBorders>
              <w:top w:val="single" w:color="D9D4CB" w:sz="4"/>
              <w:left w:val="single" w:color="D9D4CB" w:sz="4"/>
              <w:bottom w:val="single" w:color="D9D4CB" w:sz="4"/>
              <w:right w:val="single" w:color="D9D4CB" w:sz="4"/>
            </w:tcBorders>
            <w:shd w:fill="E7F6EC" w:color="auto" w:val="clear"/>
            <w:tcMar>
              <w:top w:type="dxa" w:w="80"/>
              <w:left w:type="dxa" w:w="110"/>
              <w:bottom w:type="dxa" w:w="80"/>
              <w:right w:type="dxa" w:w="110"/>
            </w:tcMar>
            <w:vAlign w:val="top"/>
          </w:tcPr>
          <w:p>
            <w:pPr>
              <w:spacing w:after="40" w:line="260"/>
            </w:pPr>
            <w:r>
              <w:rPr>
                <w:rFonts w:ascii="Arial" w:cs="Arial" w:eastAsia="Arial" w:hAnsi="Arial"/>
                <w:b/>
                <w:bCs/>
                <w:color w:val="067647"/>
                <w:sz w:val="18"/>
                <w:szCs w:val="18"/>
              </w:rPr>
              <w:t xml:space="preserve">Stated</w:t>
            </w:r>
          </w:p>
        </w:tc>
      </w:tr>
      <w:tr>
        <w:trPr>
          <w:cantSplit/>
        </w:trPr>
        <w:tc>
          <w:tcPr>
            <w:tcW w:type="dxa" w:w="2719"/>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Enquiry-to-client conversion</w:t>
            </w:r>
          </w:p>
        </w:tc>
        <w:tc>
          <w:tcPr>
            <w:tcW w:type="dxa" w:w="5666"/>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70–80%</w:t>
            </w:r>
          </w:p>
        </w:tc>
        <w:tc>
          <w:tcPr>
            <w:tcW w:type="dxa" w:w="1361"/>
            <w:tcBorders>
              <w:top w:val="single" w:color="D9D4CB" w:sz="4"/>
              <w:left w:val="single" w:color="D9D4CB" w:sz="4"/>
              <w:bottom w:val="single" w:color="D9D4CB" w:sz="4"/>
              <w:right w:val="single" w:color="D9D4CB" w:sz="4"/>
            </w:tcBorders>
            <w:shd w:fill="E7F6EC" w:color="auto" w:val="clear"/>
            <w:tcMar>
              <w:top w:type="dxa" w:w="80"/>
              <w:left w:type="dxa" w:w="110"/>
              <w:bottom w:type="dxa" w:w="80"/>
              <w:right w:type="dxa" w:w="110"/>
            </w:tcMar>
            <w:vAlign w:val="top"/>
          </w:tcPr>
          <w:p>
            <w:pPr>
              <w:spacing w:after="40" w:line="260"/>
            </w:pPr>
            <w:r>
              <w:rPr>
                <w:rFonts w:ascii="Arial" w:cs="Arial" w:eastAsia="Arial" w:hAnsi="Arial"/>
                <w:b/>
                <w:bCs/>
                <w:color w:val="067647"/>
                <w:sz w:val="18"/>
                <w:szCs w:val="18"/>
              </w:rPr>
              <w:t xml:space="preserve">Stated</w:t>
            </w:r>
          </w:p>
        </w:tc>
      </w:tr>
      <w:tr>
        <w:trPr>
          <w:cantSplit/>
        </w:trPr>
        <w:tc>
          <w:tcPr>
            <w:tcW w:type="dxa" w:w="271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Share from referrals</w:t>
            </w:r>
          </w:p>
        </w:tc>
        <w:tc>
          <w:tcPr>
            <w:tcW w:type="dxa" w:w="566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80–90% — industry ecosystem, prior clients, and non-competing contractors without in-house design teams</w:t>
            </w:r>
          </w:p>
        </w:tc>
        <w:tc>
          <w:tcPr>
            <w:tcW w:type="dxa" w:w="1361"/>
            <w:tcBorders>
              <w:top w:val="single" w:color="D9D4CB" w:sz="4"/>
              <w:left w:val="single" w:color="D9D4CB" w:sz="4"/>
              <w:bottom w:val="single" w:color="D9D4CB" w:sz="4"/>
              <w:right w:val="single" w:color="D9D4CB" w:sz="4"/>
            </w:tcBorders>
            <w:shd w:fill="E7F6EC" w:color="auto" w:val="clear"/>
            <w:tcMar>
              <w:top w:type="dxa" w:w="80"/>
              <w:left w:type="dxa" w:w="110"/>
              <w:bottom w:type="dxa" w:w="80"/>
              <w:right w:type="dxa" w:w="110"/>
            </w:tcMar>
            <w:vAlign w:val="top"/>
          </w:tcPr>
          <w:p>
            <w:pPr>
              <w:spacing w:after="40" w:line="260"/>
            </w:pPr>
            <w:r>
              <w:rPr>
                <w:rFonts w:ascii="Arial" w:cs="Arial" w:eastAsia="Arial" w:hAnsi="Arial"/>
                <w:b/>
                <w:bCs/>
                <w:color w:val="067647"/>
                <w:sz w:val="18"/>
                <w:szCs w:val="18"/>
              </w:rPr>
              <w:t xml:space="preserve">Stated</w:t>
            </w:r>
          </w:p>
        </w:tc>
      </w:tr>
      <w:tr>
        <w:trPr>
          <w:cantSplit/>
        </w:trPr>
        <w:tc>
          <w:tcPr>
            <w:tcW w:type="dxa" w:w="2719"/>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Share from other channels</w:t>
            </w:r>
          </w:p>
        </w:tc>
        <w:tc>
          <w:tcPr>
            <w:tcW w:type="dxa" w:w="5666"/>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~10% — mainly Instagram; "not much Google Ads"</w:t>
            </w:r>
          </w:p>
        </w:tc>
        <w:tc>
          <w:tcPr>
            <w:tcW w:type="dxa" w:w="1361"/>
            <w:tcBorders>
              <w:top w:val="single" w:color="D9D4CB" w:sz="4"/>
              <w:left w:val="single" w:color="D9D4CB" w:sz="4"/>
              <w:bottom w:val="single" w:color="D9D4CB" w:sz="4"/>
              <w:right w:val="single" w:color="D9D4CB" w:sz="4"/>
            </w:tcBorders>
            <w:shd w:fill="E7F6EC" w:color="auto" w:val="clear"/>
            <w:tcMar>
              <w:top w:type="dxa" w:w="80"/>
              <w:left w:type="dxa" w:w="110"/>
              <w:bottom w:type="dxa" w:w="80"/>
              <w:right w:type="dxa" w:w="110"/>
            </w:tcMar>
            <w:vAlign w:val="top"/>
          </w:tcPr>
          <w:p>
            <w:pPr>
              <w:spacing w:after="40" w:line="260"/>
            </w:pPr>
            <w:r>
              <w:rPr>
                <w:rFonts w:ascii="Arial" w:cs="Arial" w:eastAsia="Arial" w:hAnsi="Arial"/>
                <w:b/>
                <w:bCs/>
                <w:color w:val="067647"/>
                <w:sz w:val="18"/>
                <w:szCs w:val="18"/>
              </w:rPr>
              <w:t xml:space="preserve">Stated</w:t>
            </w:r>
          </w:p>
        </w:tc>
      </w:tr>
      <w:tr>
        <w:trPr>
          <w:cantSplit/>
        </w:trPr>
        <w:tc>
          <w:tcPr>
            <w:tcW w:type="dxa" w:w="271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Google Ads spend (historical)</w:t>
            </w:r>
          </w:p>
        </w:tc>
        <w:tc>
          <w:tcPr>
            <w:tcW w:type="dxa" w:w="566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~AED 5,000 per month, "not tailored to a particular outcome"</w:t>
            </w:r>
          </w:p>
        </w:tc>
        <w:tc>
          <w:tcPr>
            <w:tcW w:type="dxa" w:w="1361"/>
            <w:tcBorders>
              <w:top w:val="single" w:color="D9D4CB" w:sz="4"/>
              <w:left w:val="single" w:color="D9D4CB" w:sz="4"/>
              <w:bottom w:val="single" w:color="D9D4CB" w:sz="4"/>
              <w:right w:val="single" w:color="D9D4CB" w:sz="4"/>
            </w:tcBorders>
            <w:shd w:fill="E7F6EC" w:color="auto" w:val="clear"/>
            <w:tcMar>
              <w:top w:type="dxa" w:w="80"/>
              <w:left w:type="dxa" w:w="110"/>
              <w:bottom w:type="dxa" w:w="80"/>
              <w:right w:type="dxa" w:w="110"/>
            </w:tcMar>
            <w:vAlign w:val="top"/>
          </w:tcPr>
          <w:p>
            <w:pPr>
              <w:spacing w:after="40" w:line="260"/>
            </w:pPr>
            <w:r>
              <w:rPr>
                <w:rFonts w:ascii="Arial" w:cs="Arial" w:eastAsia="Arial" w:hAnsi="Arial"/>
                <w:b/>
                <w:bCs/>
                <w:color w:val="067647"/>
                <w:sz w:val="18"/>
                <w:szCs w:val="18"/>
              </w:rPr>
              <w:t xml:space="preserve">Stated</w:t>
            </w:r>
          </w:p>
        </w:tc>
      </w:tr>
      <w:tr>
        <w:trPr>
          <w:cantSplit/>
        </w:trPr>
        <w:tc>
          <w:tcPr>
            <w:tcW w:type="dxa" w:w="2719"/>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Experience with paid media</w:t>
            </w:r>
          </w:p>
        </w:tc>
        <w:tc>
          <w:tcPr>
            <w:tcW w:type="dxa" w:w="5666"/>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"Quite bad"</w:t>
            </w:r>
          </w:p>
        </w:tc>
        <w:tc>
          <w:tcPr>
            <w:tcW w:type="dxa" w:w="1361"/>
            <w:tcBorders>
              <w:top w:val="single" w:color="D9D4CB" w:sz="4"/>
              <w:left w:val="single" w:color="D9D4CB" w:sz="4"/>
              <w:bottom w:val="single" w:color="D9D4CB" w:sz="4"/>
              <w:right w:val="single" w:color="D9D4CB" w:sz="4"/>
            </w:tcBorders>
            <w:shd w:fill="E7F6EC" w:color="auto" w:val="clear"/>
            <w:tcMar>
              <w:top w:type="dxa" w:w="80"/>
              <w:left w:type="dxa" w:w="110"/>
              <w:bottom w:type="dxa" w:w="80"/>
              <w:right w:type="dxa" w:w="110"/>
            </w:tcMar>
            <w:vAlign w:val="top"/>
          </w:tcPr>
          <w:p>
            <w:pPr>
              <w:spacing w:after="40" w:line="260"/>
            </w:pPr>
            <w:r>
              <w:rPr>
                <w:rFonts w:ascii="Arial" w:cs="Arial" w:eastAsia="Arial" w:hAnsi="Arial"/>
                <w:b/>
                <w:bCs/>
                <w:color w:val="067647"/>
                <w:sz w:val="18"/>
                <w:szCs w:val="18"/>
              </w:rPr>
              <w:t xml:space="preserve">Stated</w:t>
            </w:r>
          </w:p>
        </w:tc>
      </w:tr>
      <w:tr>
        <w:trPr>
          <w:cantSplit/>
        </w:trPr>
        <w:tc>
          <w:tcPr>
            <w:tcW w:type="dxa" w:w="271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Why clients drop</w:t>
            </w:r>
          </w:p>
        </w:tc>
        <w:tc>
          <w:tcPr>
            <w:tcW w:type="dxa" w:w="566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Not price: "people generally don't [decline] by saying the price didn't work out"; Moori is "quite competitive"</w:t>
            </w:r>
          </w:p>
        </w:tc>
        <w:tc>
          <w:tcPr>
            <w:tcW w:type="dxa" w:w="1361"/>
            <w:tcBorders>
              <w:top w:val="single" w:color="D9D4CB" w:sz="4"/>
              <w:left w:val="single" w:color="D9D4CB" w:sz="4"/>
              <w:bottom w:val="single" w:color="D9D4CB" w:sz="4"/>
              <w:right w:val="single" w:color="D9D4CB" w:sz="4"/>
            </w:tcBorders>
            <w:shd w:fill="E7F6EC" w:color="auto" w:val="clear"/>
            <w:tcMar>
              <w:top w:type="dxa" w:w="80"/>
              <w:left w:type="dxa" w:w="110"/>
              <w:bottom w:type="dxa" w:w="80"/>
              <w:right w:type="dxa" w:w="110"/>
            </w:tcMar>
            <w:vAlign w:val="top"/>
          </w:tcPr>
          <w:p>
            <w:pPr>
              <w:spacing w:after="40" w:line="260"/>
            </w:pPr>
            <w:r>
              <w:rPr>
                <w:rFonts w:ascii="Arial" w:cs="Arial" w:eastAsia="Arial" w:hAnsi="Arial"/>
                <w:b/>
                <w:bCs/>
                <w:color w:val="067647"/>
                <w:sz w:val="18"/>
                <w:szCs w:val="18"/>
              </w:rPr>
              <w:t xml:space="preserve">Stated</w:t>
            </w:r>
          </w:p>
        </w:tc>
      </w:tr>
      <w:tr>
        <w:trPr>
          <w:cantSplit/>
        </w:trPr>
        <w:tc>
          <w:tcPr>
            <w:tcW w:type="dxa" w:w="2719"/>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Pre-enquiry drop-off</w:t>
            </w:r>
          </w:p>
        </w:tc>
        <w:tc>
          <w:tcPr>
            <w:tcW w:type="dxa" w:w="5666"/>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Unknown: "we don't know what the drop off rate is prior to that"</w:t>
            </w:r>
          </w:p>
        </w:tc>
        <w:tc>
          <w:tcPr>
            <w:tcW w:type="dxa" w:w="1361"/>
            <w:tcBorders>
              <w:top w:val="single" w:color="D9D4CB" w:sz="4"/>
              <w:left w:val="single" w:color="D9D4CB" w:sz="4"/>
              <w:bottom w:val="single" w:color="D9D4CB" w:sz="4"/>
              <w:right w:val="single" w:color="D9D4CB" w:sz="4"/>
            </w:tcBorders>
            <w:shd w:fill="E7F6EC" w:color="auto" w:val="clear"/>
            <w:tcMar>
              <w:top w:type="dxa" w:w="80"/>
              <w:left w:type="dxa" w:w="110"/>
              <w:bottom w:type="dxa" w:w="80"/>
              <w:right w:type="dxa" w:w="110"/>
            </w:tcMar>
            <w:vAlign w:val="top"/>
          </w:tcPr>
          <w:p>
            <w:pPr>
              <w:spacing w:after="40" w:line="260"/>
            </w:pPr>
            <w:r>
              <w:rPr>
                <w:rFonts w:ascii="Arial" w:cs="Arial" w:eastAsia="Arial" w:hAnsi="Arial"/>
                <w:b/>
                <w:bCs/>
                <w:color w:val="067647"/>
                <w:sz w:val="18"/>
                <w:szCs w:val="18"/>
              </w:rPr>
              <w:t xml:space="preserve">Stated</w:t>
            </w:r>
          </w:p>
        </w:tc>
      </w:tr>
      <w:tr>
        <w:trPr>
          <w:cantSplit/>
        </w:trPr>
        <w:tc>
          <w:tcPr>
            <w:tcW w:type="dxa" w:w="271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Pre-sale behaviour</w:t>
            </w:r>
          </w:p>
        </w:tc>
        <w:tc>
          <w:tcPr>
            <w:tcW w:type="dxa" w:w="566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Enquirers "have actually seen" the work before they reach out</w:t>
            </w:r>
          </w:p>
        </w:tc>
        <w:tc>
          <w:tcPr>
            <w:tcW w:type="dxa" w:w="1361"/>
            <w:tcBorders>
              <w:top w:val="single" w:color="D9D4CB" w:sz="4"/>
              <w:left w:val="single" w:color="D9D4CB" w:sz="4"/>
              <w:bottom w:val="single" w:color="D9D4CB" w:sz="4"/>
              <w:right w:val="single" w:color="D9D4CB" w:sz="4"/>
            </w:tcBorders>
            <w:shd w:fill="E7F6EC" w:color="auto" w:val="clear"/>
            <w:tcMar>
              <w:top w:type="dxa" w:w="80"/>
              <w:left w:type="dxa" w:w="110"/>
              <w:bottom w:type="dxa" w:w="80"/>
              <w:right w:type="dxa" w:w="110"/>
            </w:tcMar>
            <w:vAlign w:val="top"/>
          </w:tcPr>
          <w:p>
            <w:pPr>
              <w:spacing w:after="40" w:line="260"/>
            </w:pPr>
            <w:r>
              <w:rPr>
                <w:rFonts w:ascii="Arial" w:cs="Arial" w:eastAsia="Arial" w:hAnsi="Arial"/>
                <w:b/>
                <w:bCs/>
                <w:color w:val="067647"/>
                <w:sz w:val="18"/>
                <w:szCs w:val="18"/>
              </w:rPr>
              <w:t xml:space="preserve">Stated</w:t>
            </w:r>
          </w:p>
        </w:tc>
      </w:tr>
      <w:tr>
        <w:trPr>
          <w:cantSplit/>
        </w:trPr>
        <w:tc>
          <w:tcPr>
            <w:tcW w:type="dxa" w:w="2719"/>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Pre-contract process</w:t>
            </w:r>
          </w:p>
        </w:tc>
        <w:tc>
          <w:tcPr>
            <w:tcW w:type="dxa" w:w="5666"/>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Moori invests time understanding the brief and preparing a design direction before a formal contract</w:t>
            </w:r>
          </w:p>
        </w:tc>
        <w:tc>
          <w:tcPr>
            <w:tcW w:type="dxa" w:w="1361"/>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Observed (FAQ)</w:t>
            </w:r>
          </w:p>
        </w:tc>
      </w:tr>
    </w:tbl>
    <w:p>
      <w:pPr>
        <w:spacing w:after="120"/>
      </w:pPr>
    </w:p>
    <w:p>
      <w:pPr>
        <w:pStyle w:val="Heading1"/>
        <w:pageBreakBefore/>
      </w:pPr>
      <w:r>
        <w:rPr>
          <w:rFonts w:ascii="Arial" w:cs="Arial" w:eastAsia="Arial" w:hAnsi="Arial"/>
        </w:rPr>
        <w:t xml:space="preserve">6. Target audience — as stated and published</w:t>
      </w:r>
    </w:p>
    <w:p>
      <w:pPr>
        <w:pStyle w:val="Heading2"/>
        <w:keepNext/>
      </w:pPr>
      <w:r>
        <w:rPr>
          <w:rFonts w:ascii="Arial" w:cs="Arial" w:eastAsia="Arial" w:hAnsi="Arial"/>
        </w:rPr>
        <w:t xml:space="preserve">6.1 Segments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0"/>
        <w:gridCol w:w="5937"/>
        <w:gridCol w:w="1569"/>
      </w:tblGrid>
      <w:tr>
        <w:trPr>
          <w:tblHeader/>
        </w:trPr>
        <w:tc>
          <w:tcPr>
            <w:tcW w:type="dxa" w:w="2240"/>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Segment</w:t>
            </w:r>
          </w:p>
        </w:tc>
        <w:tc>
          <w:tcPr>
            <w:tcW w:type="dxa" w:w="5937"/>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Evidence</w:t>
            </w:r>
          </w:p>
        </w:tc>
        <w:tc>
          <w:tcPr>
            <w:tcW w:type="dxa" w:w="1569"/>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Tag</w:t>
            </w:r>
          </w:p>
        </w:tc>
      </w:tr>
      <w:tr>
        <w:trPr>
          <w:cantSplit/>
        </w:trPr>
        <w:tc>
          <w:tcPr>
            <w:tcW w:type="dxa" w:w="2240"/>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Residential homeowners (core)</w:t>
            </w:r>
          </w:p>
        </w:tc>
        <w:tc>
          <w:tcPr>
            <w:tcW w:type="dxa" w:w="5937"/>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"Usually the residential guys" (call). Website: high-end residential villas and apartments; "discerning homeowners"; fee table "typically for 2–5 bedroom residences".</w:t>
            </w:r>
          </w:p>
        </w:tc>
        <w:tc>
          <w:tcPr>
            <w:tcW w:type="dxa" w:w="156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Stated + Observed</w:t>
            </w:r>
          </w:p>
        </w:tc>
      </w:tr>
      <w:tr>
        <w:trPr>
          <w:cantSplit/>
        </w:trPr>
        <w:tc>
          <w:tcPr>
            <w:tcW w:type="dxa" w:w="2240"/>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Upscale 4–5 BHK as baseline</w:t>
            </w:r>
          </w:p>
        </w:tc>
        <w:tc>
          <w:tcPr>
            <w:tcW w:type="dxa" w:w="5937"/>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Suggested by Vishnu ("at least like a four, five BHK"). Sooraj did not confirm or reject the size; he answered on segment only.</w:t>
            </w:r>
          </w:p>
        </w:tc>
        <w:tc>
          <w:tcPr>
            <w:tcW w:type="dxa" w:w="1569"/>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Proposed — Open question</w:t>
            </w:r>
          </w:p>
        </w:tc>
      </w:tr>
      <w:tr>
        <w:trPr>
          <w:cantSplit/>
        </w:trPr>
        <w:tc>
          <w:tcPr>
            <w:tcW w:type="dxa" w:w="2240"/>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F&amp;B operators</w:t>
            </w:r>
          </w:p>
        </w:tc>
        <w:tc>
          <w:tcPr>
            <w:tcW w:type="dxa" w:w="5937"/>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Cafés and restaurants named as the desired commercial focus. Portfolio: Savane, Levante (2024).</w:t>
            </w:r>
          </w:p>
        </w:tc>
        <w:tc>
          <w:tcPr>
            <w:tcW w:type="dxa" w:w="156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Stated + Observed</w:t>
            </w:r>
          </w:p>
        </w:tc>
      </w:tr>
      <w:tr>
        <w:trPr>
          <w:cantSplit/>
        </w:trPr>
        <w:tc>
          <w:tcPr>
            <w:tcW w:type="dxa" w:w="2240"/>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Offices</w:t>
            </w:r>
          </w:p>
        </w:tc>
        <w:tc>
          <w:tcPr>
            <w:tcW w:type="dxa" w:w="5937"/>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Not a target: "not into office spaces".</w:t>
            </w:r>
          </w:p>
        </w:tc>
        <w:tc>
          <w:tcPr>
            <w:tcW w:type="dxa" w:w="1569"/>
            <w:tcBorders>
              <w:top w:val="single" w:color="D9D4CB" w:sz="4"/>
              <w:left w:val="single" w:color="D9D4CB" w:sz="4"/>
              <w:bottom w:val="single" w:color="D9D4CB" w:sz="4"/>
              <w:right w:val="single" w:color="D9D4CB" w:sz="4"/>
            </w:tcBorders>
            <w:shd w:fill="E7F6EC" w:color="auto" w:val="clear"/>
            <w:tcMar>
              <w:top w:type="dxa" w:w="80"/>
              <w:left w:type="dxa" w:w="110"/>
              <w:bottom w:type="dxa" w:w="80"/>
              <w:right w:type="dxa" w:w="110"/>
            </w:tcMar>
            <w:vAlign w:val="top"/>
          </w:tcPr>
          <w:p>
            <w:pPr>
              <w:spacing w:after="40" w:line="260"/>
            </w:pPr>
            <w:r>
              <w:rPr>
                <w:rFonts w:ascii="Arial" w:cs="Arial" w:eastAsia="Arial" w:hAnsi="Arial"/>
                <w:b/>
                <w:bCs/>
                <w:color w:val="067647"/>
                <w:sz w:val="18"/>
                <w:szCs w:val="18"/>
              </w:rPr>
              <w:t xml:space="preserve">Stated</w:t>
            </w:r>
          </w:p>
        </w:tc>
      </w:tr>
      <w:tr>
        <w:trPr>
          <w:cantSplit/>
        </w:trPr>
        <w:tc>
          <w:tcPr>
            <w:tcW w:type="dxa" w:w="2240"/>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Contractors (as referral partners)</w:t>
            </w:r>
          </w:p>
        </w:tc>
        <w:tc>
          <w:tcPr>
            <w:tcW w:type="dxa" w:w="5937"/>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Non-competing contractors without in-house design teams refer work to Moori.</w:t>
            </w:r>
          </w:p>
        </w:tc>
        <w:tc>
          <w:tcPr>
            <w:tcW w:type="dxa" w:w="1569"/>
            <w:tcBorders>
              <w:top w:val="single" w:color="D9D4CB" w:sz="4"/>
              <w:left w:val="single" w:color="D9D4CB" w:sz="4"/>
              <w:bottom w:val="single" w:color="D9D4CB" w:sz="4"/>
              <w:right w:val="single" w:color="D9D4CB" w:sz="4"/>
            </w:tcBorders>
            <w:shd w:fill="E7F6EC" w:color="auto" w:val="clear"/>
            <w:tcMar>
              <w:top w:type="dxa" w:w="80"/>
              <w:left w:type="dxa" w:w="110"/>
              <w:bottom w:type="dxa" w:w="80"/>
              <w:right w:type="dxa" w:w="110"/>
            </w:tcMar>
            <w:vAlign w:val="top"/>
          </w:tcPr>
          <w:p>
            <w:pPr>
              <w:spacing w:after="40" w:line="260"/>
            </w:pPr>
            <w:r>
              <w:rPr>
                <w:rFonts w:ascii="Arial" w:cs="Arial" w:eastAsia="Arial" w:hAnsi="Arial"/>
                <w:b/>
                <w:bCs/>
                <w:color w:val="067647"/>
                <w:sz w:val="18"/>
                <w:szCs w:val="18"/>
              </w:rPr>
              <w:t xml:space="preserve">Stated</w:t>
            </w:r>
          </w:p>
        </w:tc>
      </w:tr>
      <w:tr>
        <w:trPr>
          <w:cantSplit/>
        </w:trPr>
        <w:tc>
          <w:tcPr>
            <w:tcW w:type="dxa" w:w="2240"/>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Furniture-only clients</w:t>
            </w:r>
          </w:p>
        </w:tc>
        <w:tc>
          <w:tcPr>
            <w:tcW w:type="dxa" w:w="5937"/>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Custom furniture design-only projects accepted.</w:t>
            </w:r>
          </w:p>
        </w:tc>
        <w:tc>
          <w:tcPr>
            <w:tcW w:type="dxa" w:w="1569"/>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Observed (FAQ)</w:t>
            </w:r>
          </w:p>
        </w:tc>
      </w:tr>
    </w:tbl>
    <w:p>
      <w:pPr>
        <w:spacing w:after="120"/>
      </w:pPr>
    </w:p>
    <w:p>
      <w:pPr>
        <w:pStyle w:val="Heading2"/>
        <w:keepNext/>
      </w:pPr>
      <w:r>
        <w:rPr>
          <w:rFonts w:ascii="Arial" w:cs="Arial" w:eastAsia="Arial" w:hAnsi="Arial"/>
        </w:rPr>
        <w:t xml:space="preserve">6.2 Where Moori's clients live (from delivered work)</w:t>
      </w:r>
    </w:p>
    <w:p>
      <w:pPr>
        <w:spacing w:after="140" w:before="0" w:line="300"/>
        <w:jc w:val="left"/>
      </w:pPr>
      <w:r>
        <w:rPr>
          <w:rFonts w:ascii="Arial" w:cs="Arial" w:eastAsia="Arial" w:hAnsi="Arial"/>
          <w:color w:val="1E1E1E"/>
          <w:sz w:val="21"/>
          <w:szCs w:val="21"/>
        </w:rPr>
        <w:t xml:space="preserve">DAMAC Hills, Tilal Al Ghaf, Al Barari, Jumeirah Golf Estates, Nadd Al Sheba, Dubai Marina, The Trump Estates (DAMAC Hills), Mudon, Green Community (DIP), Yas Island (Abu Dhabi). Instagram location tags add Murooj Al Furjan, Dubai Hills Estate, Tilal Al Furjan and Elysian Mansions. — Observed. These are portfolio locations, not a stated targeting list.</w:t>
      </w:r>
    </w:p>
    <w:p>
      <w:pPr>
        <w:pStyle w:val="Heading2"/>
        <w:keepNext/>
      </w:pPr>
      <w:r>
        <w:rPr>
          <w:rFonts w:ascii="Arial" w:cs="Arial" w:eastAsia="Arial" w:hAnsi="Arial"/>
        </w:rPr>
        <w:t xml:space="preserve">6.3 Concerns buyers bring (in the clients' and Moori's own words)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3480"/>
        <w:gridCol w:w="1393"/>
      </w:tblGrid>
      <w:tr>
        <w:trPr>
          <w:tblHeader/>
        </w:trPr>
        <w:tc>
          <w:tcPr>
            <w:tcW w:type="dxa" w:w="4873"/>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Concern</w:t>
            </w:r>
          </w:p>
        </w:tc>
        <w:tc>
          <w:tcPr>
            <w:tcW w:type="dxa" w:w="3480"/>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Where it appears</w:t>
            </w:r>
          </w:p>
        </w:tc>
        <w:tc>
          <w:tcPr>
            <w:tcW w:type="dxa" w:w="1393"/>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Tag</w:t>
            </w:r>
          </w:p>
        </w:tc>
      </w:tr>
      <w:tr>
        <w:trPr>
          <w:cantSplit/>
        </w:trPr>
        <w:tc>
          <w:tcPr>
            <w:tcW w:type="dxa" w:w="487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Apprehension about working with a designer on an intimate project: shared design language, emotional nuance, generational realities, future aspirations</w:t>
            </w:r>
          </w:p>
        </w:tc>
        <w:tc>
          <w:tcPr>
            <w:tcW w:type="dxa" w:w="3480"/>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Homepage intro</w:t>
            </w:r>
          </w:p>
        </w:tc>
        <w:tc>
          <w:tcPr>
            <w:tcW w:type="dxa" w:w="1393"/>
            <w:tcBorders>
              <w:top w:val="single" w:color="D9D4CB" w:sz="4"/>
              <w:left w:val="single" w:color="D9D4CB" w:sz="4"/>
              <w:bottom w:val="single" w:color="D9D4CB" w:sz="4"/>
              <w:right w:val="single" w:color="D9D4CB" w:sz="4"/>
            </w:tcBorders>
            <w:shd w:fill="EAF0FD" w:color="auto" w:val="clear"/>
            <w:tcMar>
              <w:top w:type="dxa" w:w="80"/>
              <w:left w:type="dxa" w:w="110"/>
              <w:bottom w:type="dxa" w:w="80"/>
              <w:right w:type="dxa" w:w="110"/>
            </w:tcMar>
            <w:vAlign w:val="top"/>
          </w:tcPr>
          <w:p>
            <w:pPr>
              <w:spacing w:after="40" w:line="260"/>
            </w:pPr>
            <w:r>
              <w:rPr>
                <w:rFonts w:ascii="Arial" w:cs="Arial" w:eastAsia="Arial" w:hAnsi="Arial"/>
                <w:b/>
                <w:bCs/>
                <w:color w:val="1D4ED8"/>
                <w:sz w:val="18"/>
                <w:szCs w:val="18"/>
              </w:rPr>
              <w:t xml:space="preserve">Observed</w:t>
            </w:r>
          </w:p>
        </w:tc>
      </w:tr>
      <w:tr>
        <w:trPr>
          <w:cantSplit/>
        </w:trPr>
        <w:tc>
          <w:tcPr>
            <w:tcW w:type="dxa" w:w="4873"/>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Being heard; non-intrusive, non-pushy approach</w:t>
            </w:r>
          </w:p>
        </w:tc>
        <w:tc>
          <w:tcPr>
            <w:tcW w:type="dxa" w:w="3480"/>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Testimonials: Vineet Israni, Shikha</w:t>
            </w:r>
          </w:p>
        </w:tc>
        <w:tc>
          <w:tcPr>
            <w:tcW w:type="dxa" w:w="1393"/>
            <w:tcBorders>
              <w:top w:val="single" w:color="D9D4CB" w:sz="4"/>
              <w:left w:val="single" w:color="D9D4CB" w:sz="4"/>
              <w:bottom w:val="single" w:color="D9D4CB" w:sz="4"/>
              <w:right w:val="single" w:color="D9D4CB" w:sz="4"/>
            </w:tcBorders>
            <w:shd w:fill="EAF0FD" w:color="auto" w:val="clear"/>
            <w:tcMar>
              <w:top w:type="dxa" w:w="80"/>
              <w:left w:type="dxa" w:w="110"/>
              <w:bottom w:type="dxa" w:w="80"/>
              <w:right w:type="dxa" w:w="110"/>
            </w:tcMar>
            <w:vAlign w:val="top"/>
          </w:tcPr>
          <w:p>
            <w:pPr>
              <w:spacing w:after="40" w:line="260"/>
            </w:pPr>
            <w:r>
              <w:rPr>
                <w:rFonts w:ascii="Arial" w:cs="Arial" w:eastAsia="Arial" w:hAnsi="Arial"/>
                <w:b/>
                <w:bCs/>
                <w:color w:val="1D4ED8"/>
                <w:sz w:val="18"/>
                <w:szCs w:val="18"/>
              </w:rPr>
              <w:t xml:space="preserve">Observed</w:t>
            </w:r>
          </w:p>
        </w:tc>
      </w:tr>
      <w:tr>
        <w:trPr>
          <w:cantSplit/>
        </w:trPr>
        <w:tc>
          <w:tcPr>
            <w:tcW w:type="dxa" w:w="487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Transparency on finances, budgets and timelines</w:t>
            </w:r>
          </w:p>
        </w:tc>
        <w:tc>
          <w:tcPr>
            <w:tcW w:type="dxa" w:w="3480"/>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Testimonials: Vineet Israni, Mahitha Balakrishnan; pricing page "no hidden costs"</w:t>
            </w:r>
          </w:p>
        </w:tc>
        <w:tc>
          <w:tcPr>
            <w:tcW w:type="dxa" w:w="1393"/>
            <w:tcBorders>
              <w:top w:val="single" w:color="D9D4CB" w:sz="4"/>
              <w:left w:val="single" w:color="D9D4CB" w:sz="4"/>
              <w:bottom w:val="single" w:color="D9D4CB" w:sz="4"/>
              <w:right w:val="single" w:color="D9D4CB" w:sz="4"/>
            </w:tcBorders>
            <w:shd w:fill="EAF0FD" w:color="auto" w:val="clear"/>
            <w:tcMar>
              <w:top w:type="dxa" w:w="80"/>
              <w:left w:type="dxa" w:w="110"/>
              <w:bottom w:type="dxa" w:w="80"/>
              <w:right w:type="dxa" w:w="110"/>
            </w:tcMar>
            <w:vAlign w:val="top"/>
          </w:tcPr>
          <w:p>
            <w:pPr>
              <w:spacing w:after="40" w:line="260"/>
            </w:pPr>
            <w:r>
              <w:rPr>
                <w:rFonts w:ascii="Arial" w:cs="Arial" w:eastAsia="Arial" w:hAnsi="Arial"/>
                <w:b/>
                <w:bCs/>
                <w:color w:val="1D4ED8"/>
                <w:sz w:val="18"/>
                <w:szCs w:val="18"/>
              </w:rPr>
              <w:t xml:space="preserve">Observed</w:t>
            </w:r>
          </w:p>
        </w:tc>
      </w:tr>
      <w:tr>
        <w:trPr>
          <w:cantSplit/>
        </w:trPr>
        <w:tc>
          <w:tcPr>
            <w:tcW w:type="dxa" w:w="4873"/>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Managing a home project while abroad</w:t>
            </w:r>
          </w:p>
        </w:tc>
        <w:tc>
          <w:tcPr>
            <w:tcW w:type="dxa" w:w="3480"/>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Testimonial: Shikha (spends most of her time in Germany; DAMAC Hills home)</w:t>
            </w:r>
          </w:p>
        </w:tc>
        <w:tc>
          <w:tcPr>
            <w:tcW w:type="dxa" w:w="1393"/>
            <w:tcBorders>
              <w:top w:val="single" w:color="D9D4CB" w:sz="4"/>
              <w:left w:val="single" w:color="D9D4CB" w:sz="4"/>
              <w:bottom w:val="single" w:color="D9D4CB" w:sz="4"/>
              <w:right w:val="single" w:color="D9D4CB" w:sz="4"/>
            </w:tcBorders>
            <w:shd w:fill="EAF0FD" w:color="auto" w:val="clear"/>
            <w:tcMar>
              <w:top w:type="dxa" w:w="80"/>
              <w:left w:type="dxa" w:w="110"/>
              <w:bottom w:type="dxa" w:w="80"/>
              <w:right w:type="dxa" w:w="110"/>
            </w:tcMar>
            <w:vAlign w:val="top"/>
          </w:tcPr>
          <w:p>
            <w:pPr>
              <w:spacing w:after="40" w:line="260"/>
            </w:pPr>
            <w:r>
              <w:rPr>
                <w:rFonts w:ascii="Arial" w:cs="Arial" w:eastAsia="Arial" w:hAnsi="Arial"/>
                <w:b/>
                <w:bCs/>
                <w:color w:val="1D4ED8"/>
                <w:sz w:val="18"/>
                <w:szCs w:val="18"/>
              </w:rPr>
              <w:t xml:space="preserve">Observed</w:t>
            </w:r>
          </w:p>
        </w:tc>
      </w:tr>
      <w:tr>
        <w:trPr>
          <w:cantSplit/>
        </w:trPr>
        <w:tc>
          <w:tcPr>
            <w:tcW w:type="dxa" w:w="487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Multigenerational household needs</w:t>
            </w:r>
          </w:p>
        </w:tc>
        <w:tc>
          <w:tcPr>
            <w:tcW w:type="dxa" w:w="3480"/>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Testimonial: Mahitha Balakrishnan; design guide on multigenerational homes</w:t>
            </w:r>
          </w:p>
        </w:tc>
        <w:tc>
          <w:tcPr>
            <w:tcW w:type="dxa" w:w="1393"/>
            <w:tcBorders>
              <w:top w:val="single" w:color="D9D4CB" w:sz="4"/>
              <w:left w:val="single" w:color="D9D4CB" w:sz="4"/>
              <w:bottom w:val="single" w:color="D9D4CB" w:sz="4"/>
              <w:right w:val="single" w:color="D9D4CB" w:sz="4"/>
            </w:tcBorders>
            <w:shd w:fill="EAF0FD" w:color="auto" w:val="clear"/>
            <w:tcMar>
              <w:top w:type="dxa" w:w="80"/>
              <w:left w:type="dxa" w:w="110"/>
              <w:bottom w:type="dxa" w:w="80"/>
              <w:right w:type="dxa" w:w="110"/>
            </w:tcMar>
            <w:vAlign w:val="top"/>
          </w:tcPr>
          <w:p>
            <w:pPr>
              <w:spacing w:after="40" w:line="260"/>
            </w:pPr>
            <w:r>
              <w:rPr>
                <w:rFonts w:ascii="Arial" w:cs="Arial" w:eastAsia="Arial" w:hAnsi="Arial"/>
                <w:b/>
                <w:bCs/>
                <w:color w:val="1D4ED8"/>
                <w:sz w:val="18"/>
                <w:szCs w:val="18"/>
              </w:rPr>
              <w:t xml:space="preserve">Observed</w:t>
            </w:r>
          </w:p>
        </w:tc>
      </w:tr>
      <w:tr>
        <w:trPr>
          <w:cantSplit/>
        </w:trPr>
        <w:tc>
          <w:tcPr>
            <w:tcW w:type="dxa" w:w="4873"/>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Visual trust — needing to connect with the work</w:t>
            </w:r>
          </w:p>
        </w:tc>
        <w:tc>
          <w:tcPr>
            <w:tcW w:type="dxa" w:w="3480"/>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"It's a very visual thing … there has to be some level of trust"</w:t>
            </w:r>
          </w:p>
        </w:tc>
        <w:tc>
          <w:tcPr>
            <w:tcW w:type="dxa" w:w="1393"/>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Stated / Proposed</w:t>
            </w:r>
          </w:p>
        </w:tc>
      </w:tr>
    </w:tbl>
    <w:p>
      <w:pPr>
        <w:spacing w:after="120"/>
      </w:pPr>
    </w:p>
    <w:p>
      <w:pPr>
        <w:pStyle w:val="Heading2"/>
        <w:keepNext/>
      </w:pPr>
      <w:r>
        <w:rPr>
          <w:rFonts w:ascii="Arial" w:cs="Arial" w:eastAsia="Arial" w:hAnsi="Arial"/>
        </w:rPr>
        <w:t xml:space="preserve">6.4 Search behaviour of the older, higher-income buyer</w:t>
      </w:r>
    </w:p>
    <w:p>
      <w:pPr>
        <w:spacing w:after="140" w:before="0" w:line="300"/>
        <w:jc w:val="left"/>
      </w:pPr>
      <w:r>
        <w:rPr>
          <w:rFonts w:ascii="Arial" w:cs="Arial" w:eastAsia="Arial" w:hAnsi="Arial"/>
          <w:color w:val="1E1E1E"/>
          <w:sz w:val="21"/>
          <w:szCs w:val="21"/>
        </w:rPr>
        <w:t xml:space="preserve">Growthmak suggested that higher-income, more traditional customers rely heavily on website search, so the website matters more than social for them. Moori did not comment. — Proposed. Not used as a fact in later reports without further evidence.</w:t>
      </w:r>
    </w:p>
    <w:p>
      <w:pPr>
        <w:pStyle w:val="Heading1"/>
        <w:pageBreakBefore/>
      </w:pPr>
      <w:r>
        <w:rPr>
          <w:rFonts w:ascii="Arial" w:cs="Arial" w:eastAsia="Arial" w:hAnsi="Arial"/>
        </w:rPr>
        <w:t xml:space="preserve">7. Competitive context — as stated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71"/>
        <w:gridCol w:w="3832"/>
        <w:gridCol w:w="3943"/>
      </w:tblGrid>
      <w:tr>
        <w:trPr>
          <w:tblHeader/>
        </w:trPr>
        <w:tc>
          <w:tcPr>
            <w:tcW w:type="dxa" w:w="1971"/>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Competitor type</w:t>
            </w:r>
          </w:p>
        </w:tc>
        <w:tc>
          <w:tcPr>
            <w:tcW w:type="dxa" w:w="3832"/>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What Moori said</w:t>
            </w:r>
          </w:p>
        </w:tc>
        <w:tc>
          <w:tcPr>
            <w:tcW w:type="dxa" w:w="3943"/>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Implication stated</w:t>
            </w:r>
          </w:p>
        </w:tc>
      </w:tr>
      <w:tr>
        <w:trPr>
          <w:cantSplit/>
        </w:trPr>
        <w:tc>
          <w:tcPr>
            <w:tcW w:type="dxa" w:w="1971"/>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Other interior designers</w:t>
            </w:r>
          </w:p>
        </w:tc>
        <w:tc>
          <w:tcPr>
            <w:tcW w:type="dxa" w:w="3832"/>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Moori is "priced very competitively" against them.</w:t>
            </w:r>
          </w:p>
        </w:tc>
        <w:tc>
          <w:tcPr>
            <w:tcW w:type="dxa" w:w="394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Not the main threat on price.</w:t>
            </w:r>
          </w:p>
        </w:tc>
      </w:tr>
      <w:tr>
        <w:trPr>
          <w:cantSplit/>
        </w:trPr>
        <w:tc>
          <w:tcPr>
            <w:tcW w:type="dxa" w:w="1971"/>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Contractors</w:t>
            </w:r>
          </w:p>
        </w:tc>
        <w:tc>
          <w:tcPr>
            <w:tcW w:type="dxa" w:w="3832"/>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Contractors are "ready to do what we do for free" because they earn more on the build.</w:t>
            </w:r>
          </w:p>
        </w:tc>
        <w:tc>
          <w:tcPr>
            <w:tcW w:type="dxa" w:w="3943"/>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"Qualification would also depend on whether we have the right person who's only looking for a contractor versus looking for a designer — in which case we are quite competent."</w:t>
            </w:r>
          </w:p>
        </w:tc>
      </w:tr>
    </w:tbl>
    <w:p>
      <w:pPr>
        <w:spacing w:after="120"/>
      </w:pPr>
    </w:p>
    <w:p>
      <w:pPr>
        <w:spacing w:after="140" w:before="0" w:line="300"/>
        <w:jc w:val="left"/>
      </w:pPr>
      <w:r>
        <w:rPr>
          <w:rFonts w:ascii="Arial" w:cs="Arial" w:eastAsia="Arial" w:hAnsi="Arial"/>
          <w:color w:val="1E1E1E"/>
          <w:sz w:val="21"/>
          <w:szCs w:val="21"/>
        </w:rPr>
        <w:t xml:space="preserve">Growthmak added that the aim is to "seem competitive slightly at least" against contractor-led offers while not competing with purely budget-led buyers. — Proposed.</w:t>
      </w:r>
    </w:p>
    <w:p>
      <w:pPr>
        <w:spacing w:after="140" w:before="0" w:line="300"/>
        <w:jc w:val="left"/>
      </w:pPr>
      <w:r>
        <w:rPr>
          <w:rFonts w:ascii="Arial" w:cs="Arial" w:eastAsia="Arial" w:hAnsi="Arial"/>
          <w:i/>
          <w:iCs/>
          <w:color w:val="5B6270"/>
          <w:sz w:val="17"/>
          <w:szCs w:val="17"/>
        </w:rPr>
        <w:t xml:space="preserve">Named competitors were not discussed on the call; they are identified from search data in the Competitor Analysis report.</w:t>
      </w:r>
    </w:p>
    <w:p>
      <w:pPr>
        <w:pStyle w:val="Heading1"/>
        <w:pageBreakBefore/>
      </w:pPr>
      <w:r>
        <w:rPr>
          <w:rFonts w:ascii="Arial" w:cs="Arial" w:eastAsia="Arial" w:hAnsi="Arial"/>
        </w:rPr>
        <w:t xml:space="preserve">8. Role of the website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497"/>
        <w:gridCol w:w="1624"/>
        <w:gridCol w:w="1625"/>
      </w:tblGrid>
      <w:tr>
        <w:trPr>
          <w:tblHeader/>
        </w:trPr>
        <w:tc>
          <w:tcPr>
            <w:tcW w:type="dxa" w:w="6497"/>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Requirement from the call</w:t>
            </w:r>
          </w:p>
        </w:tc>
        <w:tc>
          <w:tcPr>
            <w:tcW w:type="dxa" w:w="1624"/>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Who said it</w:t>
            </w:r>
          </w:p>
        </w:tc>
        <w:tc>
          <w:tcPr>
            <w:tcW w:type="dxa" w:w="1625"/>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Tag</w:t>
            </w:r>
          </w:p>
        </w:tc>
      </w:tr>
      <w:tr>
        <w:trPr>
          <w:cantSplit/>
        </w:trPr>
        <w:tc>
          <w:tcPr>
            <w:tcW w:type="dxa" w:w="6497"/>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Visitors "cannot leave without at least putting an inquiry"; bounce rate "absolutely negligible"</w:t>
            </w:r>
          </w:p>
        </w:tc>
        <w:tc>
          <w:tcPr>
            <w:tcW w:type="dxa" w:w="1624"/>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Vishnu</w:t>
            </w:r>
          </w:p>
        </w:tc>
        <w:tc>
          <w:tcPr>
            <w:tcW w:type="dxa" w:w="1625"/>
            <w:tcBorders>
              <w:top w:val="single" w:color="D9D4CB" w:sz="4"/>
              <w:left w:val="single" w:color="D9D4CB" w:sz="4"/>
              <w:bottom w:val="single" w:color="D9D4CB" w:sz="4"/>
              <w:right w:val="single" w:color="D9D4CB" w:sz="4"/>
            </w:tcBorders>
            <w:shd w:fill="EEF0F3" w:color="auto" w:val="clear"/>
            <w:tcMar>
              <w:top w:type="dxa" w:w="80"/>
              <w:left w:type="dxa" w:w="110"/>
              <w:bottom w:type="dxa" w:w="80"/>
              <w:right w:type="dxa" w:w="110"/>
            </w:tcMar>
            <w:vAlign w:val="top"/>
          </w:tcPr>
          <w:p>
            <w:pPr>
              <w:spacing w:after="40" w:line="260"/>
            </w:pPr>
            <w:r>
              <w:rPr>
                <w:rFonts w:ascii="Arial" w:cs="Arial" w:eastAsia="Arial" w:hAnsi="Arial"/>
                <w:b/>
                <w:bCs/>
                <w:color w:val="5B6270"/>
                <w:sz w:val="18"/>
                <w:szCs w:val="18"/>
              </w:rPr>
              <w:t xml:space="preserve">Proposed</w:t>
            </w:r>
          </w:p>
        </w:tc>
      </w:tr>
      <w:tr>
        <w:trPr>
          <w:cantSplit/>
        </w:trPr>
        <w:tc>
          <w:tcPr>
            <w:tcW w:type="dxa" w:w="6497"/>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Website map to be changed; the current site remains the base</w:t>
            </w:r>
          </w:p>
        </w:tc>
        <w:tc>
          <w:tcPr>
            <w:tcW w:type="dxa" w:w="1624"/>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Vishnu</w:t>
            </w:r>
          </w:p>
        </w:tc>
        <w:tc>
          <w:tcPr>
            <w:tcW w:type="dxa" w:w="1625"/>
            <w:tcBorders>
              <w:top w:val="single" w:color="D9D4CB" w:sz="4"/>
              <w:left w:val="single" w:color="D9D4CB" w:sz="4"/>
              <w:bottom w:val="single" w:color="D9D4CB" w:sz="4"/>
              <w:right w:val="single" w:color="D9D4CB" w:sz="4"/>
            </w:tcBorders>
            <w:shd w:fill="EEF0F3" w:color="auto" w:val="clear"/>
            <w:tcMar>
              <w:top w:type="dxa" w:w="80"/>
              <w:left w:type="dxa" w:w="110"/>
              <w:bottom w:type="dxa" w:w="80"/>
              <w:right w:type="dxa" w:w="110"/>
            </w:tcMar>
            <w:vAlign w:val="top"/>
          </w:tcPr>
          <w:p>
            <w:pPr>
              <w:spacing w:after="40" w:line="260"/>
            </w:pPr>
            <w:r>
              <w:rPr>
                <w:rFonts w:ascii="Arial" w:cs="Arial" w:eastAsia="Arial" w:hAnsi="Arial"/>
                <w:b/>
                <w:bCs/>
                <w:color w:val="5B6270"/>
                <w:sz w:val="18"/>
                <w:szCs w:val="18"/>
              </w:rPr>
              <w:t xml:space="preserve">Proposed</w:t>
            </w:r>
          </w:p>
        </w:tc>
      </w:tr>
      <w:tr>
        <w:trPr>
          <w:cantSplit/>
        </w:trPr>
        <w:tc>
          <w:tcPr>
            <w:tcW w:type="dxa" w:w="6497"/>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Enquiries route automatically to the team on WhatsApp or into Moori's CRM</w:t>
            </w:r>
          </w:p>
        </w:tc>
        <w:tc>
          <w:tcPr>
            <w:tcW w:type="dxa" w:w="1624"/>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Vishnu</w:t>
            </w:r>
          </w:p>
        </w:tc>
        <w:tc>
          <w:tcPr>
            <w:tcW w:type="dxa" w:w="1625"/>
            <w:tcBorders>
              <w:top w:val="single" w:color="D9D4CB" w:sz="4"/>
              <w:left w:val="single" w:color="D9D4CB" w:sz="4"/>
              <w:bottom w:val="single" w:color="D9D4CB" w:sz="4"/>
              <w:right w:val="single" w:color="D9D4CB" w:sz="4"/>
            </w:tcBorders>
            <w:shd w:fill="EEF0F3" w:color="auto" w:val="clear"/>
            <w:tcMar>
              <w:top w:type="dxa" w:w="80"/>
              <w:left w:type="dxa" w:w="110"/>
              <w:bottom w:type="dxa" w:w="80"/>
              <w:right w:type="dxa" w:w="110"/>
            </w:tcMar>
            <w:vAlign w:val="top"/>
          </w:tcPr>
          <w:p>
            <w:pPr>
              <w:spacing w:after="40" w:line="260"/>
            </w:pPr>
            <w:r>
              <w:rPr>
                <w:rFonts w:ascii="Arial" w:cs="Arial" w:eastAsia="Arial" w:hAnsi="Arial"/>
                <w:b/>
                <w:bCs/>
                <w:color w:val="5B6270"/>
                <w:sz w:val="18"/>
                <w:szCs w:val="18"/>
              </w:rPr>
              <w:t xml:space="preserve">Proposed</w:t>
            </w:r>
          </w:p>
        </w:tc>
      </w:tr>
      <w:tr>
        <w:trPr>
          <w:cantSplit/>
        </w:trPr>
        <w:tc>
          <w:tcPr>
            <w:tcW w:type="dxa" w:w="6497"/>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Ads (two Google campaigns + one Meta suggested as an example) drive traffic to the website, not only to social</w:t>
            </w:r>
          </w:p>
        </w:tc>
        <w:tc>
          <w:tcPr>
            <w:tcW w:type="dxa" w:w="1624"/>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Vishnu</w:t>
            </w:r>
          </w:p>
        </w:tc>
        <w:tc>
          <w:tcPr>
            <w:tcW w:type="dxa" w:w="1625"/>
            <w:tcBorders>
              <w:top w:val="single" w:color="D9D4CB" w:sz="4"/>
              <w:left w:val="single" w:color="D9D4CB" w:sz="4"/>
              <w:bottom w:val="single" w:color="D9D4CB" w:sz="4"/>
              <w:right w:val="single" w:color="D9D4CB" w:sz="4"/>
            </w:tcBorders>
            <w:shd w:fill="EEF0F3" w:color="auto" w:val="clear"/>
            <w:tcMar>
              <w:top w:type="dxa" w:w="80"/>
              <w:left w:type="dxa" w:w="110"/>
              <w:bottom w:type="dxa" w:w="80"/>
              <w:right w:type="dxa" w:w="110"/>
            </w:tcMar>
            <w:vAlign w:val="top"/>
          </w:tcPr>
          <w:p>
            <w:pPr>
              <w:spacing w:after="40" w:line="260"/>
            </w:pPr>
            <w:r>
              <w:rPr>
                <w:rFonts w:ascii="Arial" w:cs="Arial" w:eastAsia="Arial" w:hAnsi="Arial"/>
                <w:b/>
                <w:bCs/>
                <w:color w:val="5B6270"/>
                <w:sz w:val="18"/>
                <w:szCs w:val="18"/>
              </w:rPr>
              <w:t xml:space="preserve">Proposed</w:t>
            </w:r>
          </w:p>
        </w:tc>
      </w:tr>
      <w:tr>
        <w:trPr>
          <w:cantSplit/>
        </w:trPr>
        <w:tc>
          <w:tcPr>
            <w:tcW w:type="dxa" w:w="6497"/>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SEO built in the background so organic enquiries grow and ad spend can drop</w:t>
            </w:r>
          </w:p>
        </w:tc>
        <w:tc>
          <w:tcPr>
            <w:tcW w:type="dxa" w:w="1624"/>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Vishnu</w:t>
            </w:r>
          </w:p>
        </w:tc>
        <w:tc>
          <w:tcPr>
            <w:tcW w:type="dxa" w:w="1625"/>
            <w:tcBorders>
              <w:top w:val="single" w:color="D9D4CB" w:sz="4"/>
              <w:left w:val="single" w:color="D9D4CB" w:sz="4"/>
              <w:bottom w:val="single" w:color="D9D4CB" w:sz="4"/>
              <w:right w:val="single" w:color="D9D4CB" w:sz="4"/>
            </w:tcBorders>
            <w:shd w:fill="EEF0F3" w:color="auto" w:val="clear"/>
            <w:tcMar>
              <w:top w:type="dxa" w:w="80"/>
              <w:left w:type="dxa" w:w="110"/>
              <w:bottom w:type="dxa" w:w="80"/>
              <w:right w:type="dxa" w:w="110"/>
            </w:tcMar>
            <w:vAlign w:val="top"/>
          </w:tcPr>
          <w:p>
            <w:pPr>
              <w:spacing w:after="40" w:line="260"/>
            </w:pPr>
            <w:r>
              <w:rPr>
                <w:rFonts w:ascii="Arial" w:cs="Arial" w:eastAsia="Arial" w:hAnsi="Arial"/>
                <w:b/>
                <w:bCs/>
                <w:color w:val="5B6270"/>
                <w:sz w:val="18"/>
                <w:szCs w:val="18"/>
              </w:rPr>
              <w:t xml:space="preserve">Proposed</w:t>
            </w:r>
          </w:p>
        </w:tc>
      </w:tr>
      <w:tr>
        <w:trPr>
          <w:cantSplit/>
        </w:trPr>
        <w:tc>
          <w:tcPr>
            <w:tcW w:type="dxa" w:w="6497"/>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Social media acts as the final trust check after the website</w:t>
            </w:r>
          </w:p>
        </w:tc>
        <w:tc>
          <w:tcPr>
            <w:tcW w:type="dxa" w:w="1624"/>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Vishnu</w:t>
            </w:r>
          </w:p>
        </w:tc>
        <w:tc>
          <w:tcPr>
            <w:tcW w:type="dxa" w:w="1625"/>
            <w:tcBorders>
              <w:top w:val="single" w:color="D9D4CB" w:sz="4"/>
              <w:left w:val="single" w:color="D9D4CB" w:sz="4"/>
              <w:bottom w:val="single" w:color="D9D4CB" w:sz="4"/>
              <w:right w:val="single" w:color="D9D4CB" w:sz="4"/>
            </w:tcBorders>
            <w:shd w:fill="EEF0F3" w:color="auto" w:val="clear"/>
            <w:tcMar>
              <w:top w:type="dxa" w:w="80"/>
              <w:left w:type="dxa" w:w="110"/>
              <w:bottom w:type="dxa" w:w="80"/>
              <w:right w:type="dxa" w:w="110"/>
            </w:tcMar>
            <w:vAlign w:val="top"/>
          </w:tcPr>
          <w:p>
            <w:pPr>
              <w:spacing w:after="40" w:line="260"/>
            </w:pPr>
            <w:r>
              <w:rPr>
                <w:rFonts w:ascii="Arial" w:cs="Arial" w:eastAsia="Arial" w:hAnsi="Arial"/>
                <w:b/>
                <w:bCs/>
                <w:color w:val="5B6270"/>
                <w:sz w:val="18"/>
                <w:szCs w:val="18"/>
              </w:rPr>
              <w:t xml:space="preserve">Proposed</w:t>
            </w:r>
          </w:p>
        </w:tc>
      </w:tr>
      <w:tr>
        <w:trPr>
          <w:cantSplit/>
        </w:trPr>
        <w:tc>
          <w:tcPr>
            <w:tcW w:type="dxa" w:w="6497"/>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Moori wants to understand the process and strategy, not only the outcome</w:t>
            </w:r>
          </w:p>
        </w:tc>
        <w:tc>
          <w:tcPr>
            <w:tcW w:type="dxa" w:w="1624"/>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Sooraj</w:t>
            </w:r>
          </w:p>
        </w:tc>
        <w:tc>
          <w:tcPr>
            <w:tcW w:type="dxa" w:w="1625"/>
            <w:tcBorders>
              <w:top w:val="single" w:color="D9D4CB" w:sz="4"/>
              <w:left w:val="single" w:color="D9D4CB" w:sz="4"/>
              <w:bottom w:val="single" w:color="D9D4CB" w:sz="4"/>
              <w:right w:val="single" w:color="D9D4CB" w:sz="4"/>
            </w:tcBorders>
            <w:shd w:fill="E7F6EC" w:color="auto" w:val="clear"/>
            <w:tcMar>
              <w:top w:type="dxa" w:w="80"/>
              <w:left w:type="dxa" w:w="110"/>
              <w:bottom w:type="dxa" w:w="80"/>
              <w:right w:type="dxa" w:w="110"/>
            </w:tcMar>
            <w:vAlign w:val="top"/>
          </w:tcPr>
          <w:p>
            <w:pPr>
              <w:spacing w:after="40" w:line="260"/>
            </w:pPr>
            <w:r>
              <w:rPr>
                <w:rFonts w:ascii="Arial" w:cs="Arial" w:eastAsia="Arial" w:hAnsi="Arial"/>
                <w:b/>
                <w:bCs/>
                <w:color w:val="067647"/>
                <w:sz w:val="18"/>
                <w:szCs w:val="18"/>
              </w:rPr>
              <w:t xml:space="preserve">Stated</w:t>
            </w:r>
          </w:p>
        </w:tc>
      </w:tr>
    </w:tbl>
    <w:p>
      <w:pPr>
        <w:spacing w:after="120"/>
      </w:pPr>
    </w:p>
    <w:p>
      <w:pPr>
        <w:pStyle w:val="Heading1"/>
        <w:pageBreakBefore/>
      </w:pPr>
      <w:r>
        <w:rPr>
          <w:rFonts w:ascii="Arial" w:cs="Arial" w:eastAsia="Arial" w:hAnsi="Arial"/>
        </w:rPr>
        <w:t xml:space="preserve">9. Owned-channel baseline</w:t>
      </w:r>
    </w:p>
    <w:p>
      <w:pPr>
        <w:pStyle w:val="Heading2"/>
        <w:keepNext/>
      </w:pPr>
      <w:r>
        <w:rPr>
          <w:rFonts w:ascii="Arial" w:cs="Arial" w:eastAsia="Arial" w:hAnsi="Arial"/>
        </w:rPr>
        <w:t xml:space="preserve">9.1 Instagram — @moori_interiors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7"/>
        <w:gridCol w:w="7039"/>
      </w:tblGrid>
      <w:tr>
        <w:trPr>
          <w:cantSplit/>
        </w:trPr>
        <w:tc>
          <w:tcPr>
            <w:tcW w:type="dxa" w:w="2707"/>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Profile</w:t>
            </w:r>
          </w:p>
        </w:tc>
        <w:tc>
          <w:tcPr>
            <w:tcW w:type="dxa" w:w="703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Business account, category "Interior Design Studio"; 2,651 followers, 745 following; not verified. Bio ends "DM us for a Complimentary Consultation"; link goes to Linktree, not moori.ae.</w:t>
            </w:r>
          </w:p>
        </w:tc>
      </w:tr>
      <w:tr>
        <w:trPr>
          <w:cantSplit/>
        </w:trPr>
        <w:tc>
          <w:tcPr>
            <w:tcW w:type="dxa" w:w="2707"/>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Sample</w:t>
            </w:r>
          </w:p>
        </w:tc>
        <w:tc>
          <w:tcPr>
            <w:tcW w:type="dxa" w:w="703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60 most recent posts, 7 Apr 2025 – 18 Sep 2026: 46 carousels, 13 reels, 1 image.</w:t>
            </w:r>
          </w:p>
        </w:tc>
      </w:tr>
      <w:tr>
        <w:trPr>
          <w:cantSplit/>
        </w:trPr>
        <w:tc>
          <w:tcPr>
            <w:tcW w:type="dxa" w:w="2707"/>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Engagement</w:t>
            </w:r>
          </w:p>
        </w:tc>
        <w:tc>
          <w:tcPr>
            <w:tcW w:type="dxa" w:w="703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Median 11.5 likes per post (mean 19.0); 73 comments across 60 posts; ≈0.8% average engagement per follower.</w:t>
            </w:r>
          </w:p>
        </w:tc>
      </w:tr>
      <w:tr>
        <w:trPr>
          <w:cantSplit/>
        </w:trPr>
        <w:tc>
          <w:tcPr>
            <w:tcW w:type="dxa" w:w="2707"/>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Reels</w:t>
            </w:r>
          </w:p>
        </w:tc>
        <w:tc>
          <w:tcPr>
            <w:tcW w:type="dxa" w:w="703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13 reels with 361–7,865 plays; best: House of the Future 2025 reel (7,865 plays, 113 likes, 16 comments).</w:t>
            </w:r>
          </w:p>
        </w:tc>
      </w:tr>
      <w:tr>
        <w:trPr>
          <w:cantSplit/>
        </w:trPr>
        <w:tc>
          <w:tcPr>
            <w:tcW w:type="dxa" w:w="2707"/>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Top posts</w:t>
            </w:r>
          </w:p>
        </w:tc>
        <w:tc>
          <w:tcPr>
            <w:tcW w:type="dxa" w:w="703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House of the Future 2025 series (Aug 2025: 157, 146, 113 likes); behind-the-scenes "Trust the process" reel (55 likes, 1,917 plays); AD Middle East thank-you (38 likes).</w:t>
            </w:r>
          </w:p>
        </w:tc>
      </w:tr>
      <w:tr>
        <w:trPr>
          <w:cantSplit/>
        </w:trPr>
        <w:tc>
          <w:tcPr>
            <w:tcW w:type="dxa" w:w="2707"/>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Content mix</w:t>
            </w:r>
          </w:p>
        </w:tc>
        <w:tc>
          <w:tcPr>
            <w:tcW w:type="dxa" w:w="703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Project showcases 23; design education on kitchens/bathrooms/MEP 11; House of the Future 8; landscape 7; colour studies 3; other 8.</w:t>
            </w:r>
          </w:p>
        </w:tc>
      </w:tr>
      <w:tr>
        <w:trPr>
          <w:cantSplit/>
        </w:trPr>
        <w:tc>
          <w:tcPr>
            <w:tcW w:type="dxa" w:w="2707"/>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Cadence</w:t>
            </w:r>
          </w:p>
        </w:tc>
        <w:tc>
          <w:tcPr>
            <w:tcW w:type="dxa" w:w="703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21 posts in 2026 to date; no posts found in Sep 2025, Nov 2025, Feb–Mar 2026 or Jun–Jul 2026.</w:t>
            </w:r>
          </w:p>
        </w:tc>
      </w:tr>
      <w:tr>
        <w:trPr>
          <w:cantSplit/>
        </w:trPr>
        <w:tc>
          <w:tcPr>
            <w:tcW w:type="dxa" w:w="2707"/>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Top hashtags</w:t>
            </w:r>
          </w:p>
        </w:tc>
        <w:tc>
          <w:tcPr>
            <w:tcW w:type="dxa" w:w="703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#luxuryliving, #interiordesign, #designcurated, #warmminimalism, #designstudio; #interiordesigndubai used 16 times.</w:t>
            </w:r>
          </w:p>
        </w:tc>
      </w:tr>
    </w:tbl>
    <w:p>
      <w:pPr>
        <w:spacing w:after="120"/>
      </w:pPr>
    </w:p>
    <w:p>
      <w:pPr>
        <w:pStyle w:val="Heading2"/>
        <w:keepNext/>
      </w:pPr>
      <w:r>
        <w:rPr>
          <w:rFonts w:ascii="Arial" w:cs="Arial" w:eastAsia="Arial" w:hAnsi="Arial"/>
        </w:rPr>
        <w:t xml:space="preserve">9.2 LinkedIn and Pinterest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7"/>
        <w:gridCol w:w="7039"/>
      </w:tblGrid>
      <w:tr>
        <w:trPr>
          <w:cantSplit/>
        </w:trPr>
        <w:tc>
          <w:tcPr>
            <w:tcW w:type="dxa" w:w="2707"/>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LinkedIn</w:t>
            </w:r>
          </w:p>
        </w:tc>
        <w:tc>
          <w:tcPr>
            <w:tcW w:type="dxa" w:w="703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2,460 followers; company description repeats the "creative movement… multidisciplinary studio" vision; no posts returned by the scraper.</w:t>
            </w:r>
          </w:p>
        </w:tc>
      </w:tr>
      <w:tr>
        <w:trPr>
          <w:cantSplit/>
        </w:trPr>
        <w:tc>
          <w:tcPr>
            <w:tcW w:type="dxa" w:w="2707"/>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Pinterest</w:t>
            </w:r>
          </w:p>
        </w:tc>
        <w:tc>
          <w:tcPr>
            <w:tcW w:type="dxa" w:w="703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5 followers, 15 pins, 3 boards; joined Oct 2025; bio "Luxury minimalist interior design in Dubai"; website domain not verified.</w:t>
            </w:r>
          </w:p>
        </w:tc>
      </w:tr>
    </w:tbl>
    <w:p>
      <w:pPr>
        <w:spacing w:after="120"/>
      </w:pPr>
    </w:p>
    <w:p>
      <w:pPr>
        <w:pStyle w:val="Heading2"/>
        <w:keepNext/>
      </w:pPr>
      <w:r>
        <w:rPr>
          <w:rFonts w:ascii="Arial" w:cs="Arial" w:eastAsia="Arial" w:hAnsi="Arial"/>
        </w:rPr>
        <w:t xml:space="preserve">9.3 Website</w:t>
      </w:r>
    </w:p>
    <w:p>
      <w:pPr>
        <w:spacing w:after="140" w:before="0" w:line="300"/>
        <w:jc w:val="left"/>
      </w:pPr>
      <w:r>
        <w:rPr>
          <w:rFonts w:ascii="Arial" w:cs="Arial" w:eastAsia="Arial" w:hAnsi="Arial"/>
          <w:color w:val="1E1E1E"/>
          <w:sz w:val="21"/>
          <w:szCs w:val="21"/>
        </w:rPr>
        <w:t xml:space="preserve">Hostinger Website Builder. 53 live pages: core pages, about 20 project and concept pages (17 linked from the portfolio), ~21 articles and design guides. Search visibility: not on page one of Google UAE for any of 10 buyer-intent queries tested. Full detail is in the CRO &amp; UX Audit. — Observed.</w:t>
      </w:r>
    </w:p>
    <w:p>
      <w:pPr>
        <w:pStyle w:val="Heading1"/>
        <w:pageBreakBefore/>
      </w:pPr>
      <w:r>
        <w:rPr>
          <w:rFonts w:ascii="Arial" w:cs="Arial" w:eastAsia="Arial" w:hAnsi="Arial"/>
        </w:rPr>
        <w:t xml:space="preserve">10. Agreed next steps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14"/>
        <w:gridCol w:w="5184"/>
        <w:gridCol w:w="2073"/>
        <w:gridCol w:w="2075"/>
      </w:tblGrid>
      <w:tr>
        <w:trPr>
          <w:tblHeader/>
        </w:trPr>
        <w:tc>
          <w:tcPr>
            <w:tcW w:type="dxa" w:w="414"/>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w:t>
            </w:r>
          </w:p>
        </w:tc>
        <w:tc>
          <w:tcPr>
            <w:tcW w:type="dxa" w:w="5184"/>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Action</w:t>
            </w:r>
          </w:p>
        </w:tc>
        <w:tc>
          <w:tcPr>
            <w:tcW w:type="dxa" w:w="2073"/>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Owner</w:t>
            </w:r>
          </w:p>
        </w:tc>
        <w:tc>
          <w:tcPr>
            <w:tcW w:type="dxa" w:w="2075"/>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Timing</w:t>
            </w:r>
          </w:p>
        </w:tc>
      </w:tr>
      <w:tr>
        <w:trPr>
          <w:cantSplit/>
        </w:trPr>
        <w:tc>
          <w:tcPr>
            <w:tcW w:type="dxa" w:w="414"/>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1</w:t>
            </w:r>
          </w:p>
        </w:tc>
        <w:tc>
          <w:tcPr>
            <w:tcW w:type="dxa" w:w="5184"/>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Prepare and send a 90-day plan mockup for Moori (where ads run and why, website map changes, enquiry loop)</w:t>
            </w:r>
          </w:p>
        </w:tc>
        <w:tc>
          <w:tcPr>
            <w:tcW w:type="dxa" w:w="207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Growthmak (Vishnu)</w:t>
            </w:r>
          </w:p>
        </w:tc>
        <w:tc>
          <w:tcPr>
            <w:tcW w:type="dxa" w:w="207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Within ~6 hours of prep; before the review</w:t>
            </w:r>
          </w:p>
        </w:tc>
      </w:tr>
      <w:tr>
        <w:trPr>
          <w:cantSplit/>
        </w:trPr>
        <w:tc>
          <w:tcPr>
            <w:tcW w:type="dxa" w:w="414"/>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2</w:t>
            </w:r>
          </w:p>
        </w:tc>
        <w:tc>
          <w:tcPr>
            <w:tcW w:type="dxa" w:w="5184"/>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Send average order value / qualification thresholds and past ad spend detail</w:t>
            </w:r>
          </w:p>
        </w:tc>
        <w:tc>
          <w:tcPr>
            <w:tcW w:type="dxa" w:w="2073"/>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Moori (Sooraj)</w:t>
            </w:r>
          </w:p>
        </w:tc>
        <w:tc>
          <w:tcPr>
            <w:tcW w:type="dxa" w:w="207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Before plan review</w:t>
            </w:r>
          </w:p>
        </w:tc>
      </w:tr>
      <w:tr>
        <w:trPr>
          <w:cantSplit/>
        </w:trPr>
        <w:tc>
          <w:tcPr>
            <w:tcW w:type="dxa" w:w="414"/>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3</w:t>
            </w:r>
          </w:p>
        </w:tc>
        <w:tc>
          <w:tcPr>
            <w:tcW w:type="dxa" w:w="5184"/>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Schedule a 25–30 minute plan review</w:t>
            </w:r>
          </w:p>
        </w:tc>
        <w:tc>
          <w:tcPr>
            <w:tcW w:type="dxa" w:w="207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Fathima (Growthmak) with Sooraj</w:t>
            </w:r>
          </w:p>
        </w:tc>
        <w:tc>
          <w:tcPr>
            <w:tcW w:type="dxa" w:w="207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28 or 29 October 2026</w:t>
            </w:r>
          </w:p>
        </w:tc>
      </w:tr>
      <w:tr>
        <w:trPr>
          <w:cantSplit/>
        </w:trPr>
        <w:tc>
          <w:tcPr>
            <w:tcW w:type="dxa" w:w="414"/>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4</w:t>
            </w:r>
          </w:p>
        </w:tc>
        <w:tc>
          <w:tcPr>
            <w:tcW w:type="dxa" w:w="5184"/>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Back the plan with numbers from comparable client results</w:t>
            </w:r>
          </w:p>
        </w:tc>
        <w:tc>
          <w:tcPr>
            <w:tcW w:type="dxa" w:w="2073"/>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Growthmak</w:t>
            </w:r>
          </w:p>
        </w:tc>
        <w:tc>
          <w:tcPr>
            <w:tcW w:type="dxa" w:w="207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At plan review</w:t>
            </w:r>
          </w:p>
        </w:tc>
      </w:tr>
    </w:tbl>
    <w:p>
      <w:pPr>
        <w:spacing w:after="120"/>
      </w:pPr>
    </w:p>
    <w:p>
      <w:pPr>
        <w:spacing w:after="140" w:before="0" w:line="300"/>
        <w:jc w:val="left"/>
      </w:pPr>
      <w:r>
        <w:rPr>
          <w:rFonts w:ascii="Arial" w:cs="Arial" w:eastAsia="Arial" w:hAnsi="Arial"/>
          <w:color w:val="1E1E1E"/>
          <w:sz w:val="21"/>
          <w:szCs w:val="21"/>
        </w:rPr>
        <w:t xml:space="preserve">Commercial terms raised: month-to-month engagement, no fixed 6–8 month lock-in; 90 days positioned as the evaluation window. — Proposed.</w:t>
      </w:r>
    </w:p>
    <w:p>
      <w:pPr>
        <w:pStyle w:val="Heading1"/>
        <w:pageBreakBefore/>
      </w:pPr>
      <w:r>
        <w:rPr>
          <w:rFonts w:ascii="Arial" w:cs="Arial" w:eastAsia="Arial" w:hAnsi="Arial"/>
        </w:rPr>
        <w:t xml:space="preserve">11. Open questions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3"/>
        <w:gridCol w:w="4981"/>
        <w:gridCol w:w="4332"/>
      </w:tblGrid>
      <w:tr>
        <w:trPr>
          <w:tblHeader/>
        </w:trPr>
        <w:tc>
          <w:tcPr>
            <w:tcW w:type="dxa" w:w="433"/>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w:t>
            </w:r>
          </w:p>
        </w:tc>
        <w:tc>
          <w:tcPr>
            <w:tcW w:type="dxa" w:w="4981"/>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Question</w:t>
            </w:r>
          </w:p>
        </w:tc>
        <w:tc>
          <w:tcPr>
            <w:tcW w:type="dxa" w:w="4332"/>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Why it matters</w:t>
            </w:r>
          </w:p>
        </w:tc>
      </w:tr>
      <w:tr>
        <w:trPr>
          <w:cantSplit/>
        </w:trPr>
        <w:tc>
          <w:tcPr>
            <w:tcW w:type="dxa" w:w="43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1</w:t>
            </w:r>
          </w:p>
        </w:tc>
        <w:tc>
          <w:tcPr>
            <w:tcW w:type="dxa" w:w="4981"/>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What minimum project value or fee qualifies a lead?</w:t>
            </w:r>
          </w:p>
        </w:tc>
        <w:tc>
          <w:tcPr>
            <w:tcW w:type="dxa" w:w="4332"/>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Sets budget fields, ad targeting and the qualified-lead definition.</w:t>
            </w:r>
          </w:p>
        </w:tc>
      </w:tr>
      <w:tr>
        <w:trPr>
          <w:cantSplit/>
        </w:trPr>
        <w:tc>
          <w:tcPr>
            <w:tcW w:type="dxa" w:w="433"/>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2</w:t>
            </w:r>
          </w:p>
        </w:tc>
        <w:tc>
          <w:tcPr>
            <w:tcW w:type="dxa" w:w="4981"/>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Is "upscale 4–5 BHK" the baseline, or is the 2–5 bedroom range on the pricing page the real target?</w:t>
            </w:r>
          </w:p>
        </w:tc>
        <w:tc>
          <w:tcPr>
            <w:tcW w:type="dxa" w:w="4332"/>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Determines property-type filters and landing pages.</w:t>
            </w:r>
          </w:p>
        </w:tc>
      </w:tr>
      <w:tr>
        <w:trPr>
          <w:cantSplit/>
        </w:trPr>
        <w:tc>
          <w:tcPr>
            <w:tcW w:type="dxa" w:w="43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3</w:t>
            </w:r>
          </w:p>
        </w:tc>
        <w:tc>
          <w:tcPr>
            <w:tcW w:type="dxa" w:w="4981"/>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Which communities and emirates should be prioritised?</w:t>
            </w:r>
          </w:p>
        </w:tc>
        <w:tc>
          <w:tcPr>
            <w:tcW w:type="dxa" w:w="4332"/>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Community landing pages and geo-targeting.</w:t>
            </w:r>
          </w:p>
        </w:tc>
      </w:tr>
      <w:tr>
        <w:trPr>
          <w:cantSplit/>
        </w:trPr>
        <w:tc>
          <w:tcPr>
            <w:tcW w:type="dxa" w:w="433"/>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4</w:t>
            </w:r>
          </w:p>
        </w:tc>
        <w:tc>
          <w:tcPr>
            <w:tcW w:type="dxa" w:w="4981"/>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How much F&amp;B work is wanted per year, and at what size?</w:t>
            </w:r>
          </w:p>
        </w:tc>
        <w:tc>
          <w:tcPr>
            <w:tcW w:type="dxa" w:w="4332"/>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Weight of the F&amp;B section in the sitemap.</w:t>
            </w:r>
          </w:p>
        </w:tc>
      </w:tr>
      <w:tr>
        <w:trPr>
          <w:cantSplit/>
        </w:trPr>
        <w:tc>
          <w:tcPr>
            <w:tcW w:type="dxa" w:w="43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5</w:t>
            </w:r>
          </w:p>
        </w:tc>
        <w:tc>
          <w:tcPr>
            <w:tcW w:type="dxa" w:w="4981"/>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What monthly marketing budget (ads + website + content) is available?</w:t>
            </w:r>
          </w:p>
        </w:tc>
        <w:tc>
          <w:tcPr>
            <w:tcW w:type="dxa" w:w="4332"/>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Not answered; only historic ad spend (AED 5,000) given.</w:t>
            </w:r>
          </w:p>
        </w:tc>
      </w:tr>
      <w:tr>
        <w:trPr>
          <w:cantSplit/>
        </w:trPr>
        <w:tc>
          <w:tcPr>
            <w:tcW w:type="dxa" w:w="433"/>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6</w:t>
            </w:r>
          </w:p>
        </w:tc>
        <w:tc>
          <w:tcPr>
            <w:tcW w:type="dxa" w:w="4981"/>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Which Google Ads campaigns ran, with what keywords and landing pages?</w:t>
            </w:r>
          </w:p>
        </w:tc>
        <w:tc>
          <w:tcPr>
            <w:tcW w:type="dxa" w:w="4332"/>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Diagnose why results were "quite bad".</w:t>
            </w:r>
          </w:p>
        </w:tc>
      </w:tr>
      <w:tr>
        <w:trPr>
          <w:cantSplit/>
        </w:trPr>
        <w:tc>
          <w:tcPr>
            <w:tcW w:type="dxa" w:w="43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7</w:t>
            </w:r>
          </w:p>
        </w:tc>
        <w:tc>
          <w:tcPr>
            <w:tcW w:type="dxa" w:w="4981"/>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What share of projects are design-only vs turnkey, and which is preferred?</w:t>
            </w:r>
          </w:p>
        </w:tc>
        <w:tc>
          <w:tcPr>
            <w:tcW w:type="dxa" w:w="4332"/>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Positioning against contractors; form routing.</w:t>
            </w:r>
          </w:p>
        </w:tc>
      </w:tr>
      <w:tr>
        <w:trPr>
          <w:cantSplit/>
        </w:trPr>
        <w:tc>
          <w:tcPr>
            <w:tcW w:type="dxa" w:w="433"/>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8</w:t>
            </w:r>
          </w:p>
        </w:tc>
        <w:tc>
          <w:tcPr>
            <w:tcW w:type="dxa" w:w="4981"/>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How many projects can the team run in parallel?</w:t>
            </w:r>
          </w:p>
        </w:tc>
        <w:tc>
          <w:tcPr>
            <w:tcW w:type="dxa" w:w="4332"/>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Confirms capacity for 10–15 qualified enquiries at 70–80% conversion.</w:t>
            </w:r>
          </w:p>
        </w:tc>
      </w:tr>
      <w:tr>
        <w:trPr>
          <w:cantSplit/>
        </w:trPr>
        <w:tc>
          <w:tcPr>
            <w:tcW w:type="dxa" w:w="43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9</w:t>
            </w:r>
          </w:p>
        </w:tc>
        <w:tc>
          <w:tcPr>
            <w:tcW w:type="dxa" w:w="4981"/>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Which office address is current — Sports City or DIP?</w:t>
            </w:r>
          </w:p>
        </w:tc>
        <w:tc>
          <w:tcPr>
            <w:tcW w:type="dxa" w:w="4332"/>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Website, Google Business Profile and schema consistency.</w:t>
            </w:r>
          </w:p>
        </w:tc>
      </w:tr>
      <w:tr>
        <w:trPr>
          <w:cantSplit/>
        </w:trPr>
        <w:tc>
          <w:tcPr>
            <w:tcW w:type="dxa" w:w="433"/>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10</w:t>
            </w:r>
          </w:p>
        </w:tc>
        <w:tc>
          <w:tcPr>
            <w:tcW w:type="dxa" w:w="4981"/>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Which project images are completed-site photography vs visualisations?</w:t>
            </w:r>
          </w:p>
        </w:tc>
        <w:tc>
          <w:tcPr>
            <w:tcW w:type="dxa" w:w="4332"/>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Trust and labelling on project pages.</w:t>
            </w:r>
          </w:p>
        </w:tc>
      </w:tr>
      <w:tr>
        <w:trPr>
          <w:cantSplit/>
        </w:trPr>
        <w:tc>
          <w:tcPr>
            <w:tcW w:type="dxa" w:w="43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11</w:t>
            </w:r>
          </w:p>
        </w:tc>
        <w:tc>
          <w:tcPr>
            <w:tcW w:type="dxa" w:w="4981"/>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Which CRM is used, and should enquiries go to WhatsApp, CRM or both?</w:t>
            </w:r>
          </w:p>
        </w:tc>
        <w:tc>
          <w:tcPr>
            <w:tcW w:type="dxa" w:w="4332"/>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Form integration.</w:t>
            </w:r>
          </w:p>
        </w:tc>
      </w:tr>
      <w:tr>
        <w:trPr>
          <w:cantSplit/>
        </w:trPr>
        <w:tc>
          <w:tcPr>
            <w:tcW w:type="dxa" w:w="433"/>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12</w:t>
            </w:r>
          </w:p>
        </w:tc>
        <w:tc>
          <w:tcPr>
            <w:tcW w:type="dxa" w:w="4981"/>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Can past clients (incl. the four testimonial authors) be asked for Google reviews and permission to link quotes to projects?</w:t>
            </w:r>
          </w:p>
        </w:tc>
        <w:tc>
          <w:tcPr>
            <w:tcW w:type="dxa" w:w="4332"/>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Trust signals on the new site.</w:t>
            </w:r>
          </w:p>
        </w:tc>
      </w:tr>
    </w:tbl>
    <w:p>
      <w:pPr>
        <w:spacing w:after="120"/>
      </w:pPr>
    </w:p>
    <w:p>
      <w:pPr>
        <w:pStyle w:val="Heading1"/>
        <w:pageBreakBefore/>
      </w:pPr>
      <w:r>
        <w:rPr>
          <w:rFonts w:ascii="Arial" w:cs="Arial" w:eastAsia="Arial" w:hAnsi="Arial"/>
        </w:rPr>
        <w:t xml:space="preserve">12. Requirements carried into the next reports</w:t>
      </w:r>
    </w:p>
    <w:p>
      <w:pPr>
        <w:spacing w:after="140" w:before="0" w:line="300"/>
        <w:jc w:val="left"/>
      </w:pPr>
      <w:r>
        <w:rPr>
          <w:rFonts w:ascii="Arial" w:cs="Arial" w:eastAsia="Arial" w:hAnsi="Arial"/>
          <w:color w:val="1E1E1E"/>
          <w:sz w:val="21"/>
          <w:szCs w:val="21"/>
        </w:rPr>
        <w:t xml:space="preserve">Only requirements that trace directly to a stated goal or published fact are listed.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497"/>
        <w:gridCol w:w="3249"/>
      </w:tblGrid>
      <w:tr>
        <w:trPr>
          <w:tblHeader/>
        </w:trPr>
        <w:tc>
          <w:tcPr>
            <w:tcW w:type="dxa" w:w="6497"/>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Requirement</w:t>
            </w:r>
          </w:p>
        </w:tc>
        <w:tc>
          <w:tcPr>
            <w:tcW w:type="dxa" w:w="3249"/>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Traces to</w:t>
            </w:r>
          </w:p>
        </w:tc>
      </w:tr>
      <w:tr>
        <w:trPr>
          <w:cantSplit/>
        </w:trPr>
        <w:tc>
          <w:tcPr>
            <w:tcW w:type="dxa" w:w="6497"/>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Every key page must lead to an enquiry, with WhatsApp and form routes</w:t>
            </w:r>
          </w:p>
        </w:tc>
        <w:tc>
          <w:tcPr>
            <w:tcW w:type="dxa" w:w="324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Section 8 (call)</w:t>
            </w:r>
          </w:p>
        </w:tc>
      </w:tr>
      <w:tr>
        <w:trPr>
          <w:cantSplit/>
        </w:trPr>
        <w:tc>
          <w:tcPr>
            <w:tcW w:type="dxa" w:w="6497"/>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Forms must separate designer-seekers from contractor-only seekers and capture budget and property type</w:t>
            </w:r>
          </w:p>
        </w:tc>
        <w:tc>
          <w:tcPr>
            <w:tcW w:type="dxa" w:w="3249"/>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Section 7 (Stated), Section 4 callout</w:t>
            </w:r>
          </w:p>
        </w:tc>
      </w:tr>
      <w:tr>
        <w:trPr>
          <w:cantSplit/>
        </w:trPr>
        <w:tc>
          <w:tcPr>
            <w:tcW w:type="dxa" w:w="6497"/>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Residential first; a distinct F&amp;B path; no office fit-out positioning</w:t>
            </w:r>
          </w:p>
        </w:tc>
        <w:tc>
          <w:tcPr>
            <w:tcW w:type="dxa" w:w="324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Section 6.1 (Stated)</w:t>
            </w:r>
          </w:p>
        </w:tc>
      </w:tr>
      <w:tr>
        <w:trPr>
          <w:cantSplit/>
        </w:trPr>
        <w:tc>
          <w:tcPr>
            <w:tcW w:type="dxa" w:w="6497"/>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Show proof where decisions are made: AD Middle East, ISOLA, Dubai Design Week, testimonials</w:t>
            </w:r>
          </w:p>
        </w:tc>
        <w:tc>
          <w:tcPr>
            <w:tcW w:type="dxa" w:w="3249"/>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Section 3.4 (Observed); "visual trust" (Section 6.3)</w:t>
            </w:r>
          </w:p>
        </w:tc>
      </w:tr>
      <w:tr>
        <w:trPr>
          <w:cantSplit/>
        </w:trPr>
        <w:tc>
          <w:tcPr>
            <w:tcW w:type="dxa" w:w="6497"/>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Address the "why a designer, not a contractor" question</w:t>
            </w:r>
          </w:p>
        </w:tc>
        <w:tc>
          <w:tcPr>
            <w:tcW w:type="dxa" w:w="324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Section 7 (Stated)</w:t>
            </w:r>
          </w:p>
        </w:tc>
      </w:tr>
      <w:tr>
        <w:trPr>
          <w:cantSplit/>
        </w:trPr>
        <w:tc>
          <w:tcPr>
            <w:tcW w:type="dxa" w:w="6497"/>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Track lead source and qualification to measure the 10–15/month goal</w:t>
            </w:r>
          </w:p>
        </w:tc>
        <w:tc>
          <w:tcPr>
            <w:tcW w:type="dxa" w:w="3249"/>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Sections 4 and 5 (drop-off unknown)</w:t>
            </w:r>
          </w:p>
        </w:tc>
      </w:tr>
      <w:tr>
        <w:trPr>
          <w:cantSplit/>
        </w:trPr>
        <w:tc>
          <w:tcPr>
            <w:tcW w:type="dxa" w:w="6497"/>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Pages that can serve as ad landing pages, separate from the homepage</w:t>
            </w:r>
          </w:p>
        </w:tc>
        <w:tc>
          <w:tcPr>
            <w:tcW w:type="dxa" w:w="324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Section 8 (ads → website loop)</w:t>
            </w:r>
          </w:p>
        </w:tc>
      </w:tr>
    </w:tbl>
    <w:p>
      <w:pPr>
        <w:spacing w:after="120"/>
      </w:pPr>
    </w:p>
    <w:p>
      <w:pPr>
        <w:pStyle w:val="Heading2"/>
        <w:keepNext/>
      </w:pPr>
      <w:r>
        <w:rPr>
          <w:rFonts w:ascii="Arial" w:cs="Arial" w:eastAsia="Arial" w:hAnsi="Arial"/>
        </w:rPr>
        <w:t xml:space="preserve">Sources</w:t>
      </w:r>
    </w:p>
    <w:p>
      <w:pPr>
        <w:pStyle w:val="ListParagraph"/>
        <w:numPr>
          <w:ilvl w:val="0"/>
          <w:numId w:val="2"/>
        </w:numPr>
        <w:spacing w:after="80" w:line="290"/>
      </w:pPr>
      <w:r>
        <w:rPr>
          <w:rFonts w:ascii="Arial" w:cs="Arial" w:eastAsia="Arial" w:hAnsi="Arial"/>
          <w:color w:val="1E1E1E"/>
          <w:sz w:val="21"/>
          <w:szCs w:val="21"/>
        </w:rPr>
        <w:t xml:space="preserve">Impromptu Google Meet — Growthmak × Moori Interiors, 27 October 2026 (Fathom: fathom.video/share/cn4CU1xsfkPzgh5HRm1DkzmoUtwWZiDc).</w:t>
      </w:r>
    </w:p>
    <w:p>
      <w:pPr>
        <w:pStyle w:val="ListParagraph"/>
        <w:numPr>
          <w:ilvl w:val="0"/>
          <w:numId w:val="2"/>
        </w:numPr>
        <w:spacing w:after="80" w:line="290"/>
      </w:pPr>
      <w:r>
        <w:rPr>
          <w:rFonts w:ascii="Arial" w:cs="Arial" w:eastAsia="Arial" w:hAnsi="Arial"/>
          <w:color w:val="1E1E1E"/>
          <w:sz w:val="21"/>
          <w:szCs w:val="21"/>
        </w:rPr>
        <w:t xml:space="preserve">moori.ae: /, /about, /services, /pricing, /complimentary-consultation, /recognitions, /portfolio-page and project pages (accessed 27 Oct 2026).</w:t>
      </w:r>
    </w:p>
    <w:p>
      <w:pPr>
        <w:pStyle w:val="ListParagraph"/>
        <w:numPr>
          <w:ilvl w:val="0"/>
          <w:numId w:val="2"/>
        </w:numPr>
        <w:spacing w:after="80" w:line="290"/>
      </w:pPr>
      <w:r>
        <w:rPr>
          <w:rFonts w:ascii="Arial" w:cs="Arial" w:eastAsia="Arial" w:hAnsi="Arial"/>
          <w:color w:val="1E1E1E"/>
          <w:sz w:val="21"/>
          <w:szCs w:val="21"/>
        </w:rPr>
        <w:t xml:space="preserve">instagram.com/moori_interiors; linkedin.com/company/moori-interiors; pinterest.com/mooriinterior (via Apify scrapers, 27 Oct 2026).</w:t>
      </w:r>
    </w:p>
    <w:sectPr>
      <w:headerReference w:type="default" r:id="rId6"/>
      <w:footerReference w:type="default" r:id="rId7"/>
      <w:pgSz w:w="11906" w:h="16838" w:orient="portrait"/>
      <w:pgMar w:top="1080" w:right="1080" w:bottom="1080" w:left="108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46"/>
      </w:tabs>
    </w:pPr>
    <w:r>
      <w:rPr>
        <w:rFonts w:ascii="Arial" w:cs="Arial" w:eastAsia="Arial" w:hAnsi="Arial"/>
        <w:color w:val="5B6270"/>
        <w:sz w:val="16"/>
        <w:szCs w:val="16"/>
      </w:rPr>
      <w:t xml:space="preserve">v1.0  ·  27 October 2026  ·  Growthmak</w:t>
    </w:r>
    <w:r>
      <w:rPr>
        <w:rFonts w:ascii="Arial" w:cs="Arial" w:eastAsia="Arial" w:hAnsi="Arial"/>
        <w:color w:val="5B6270"/>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4CB" w:sz="4" w:space="4"/>
      </w:pBdr>
      <w:tabs>
        <w:tab w:val="right" w:pos="9746"/>
      </w:tabs>
    </w:pPr>
    <w:r>
      <w:rPr>
        <w:rFonts w:ascii="Arial" w:cs="Arial" w:eastAsia="Arial" w:hAnsi="Arial"/>
        <w:color w:val="5B6270"/>
        <w:sz w:val="16"/>
        <w:szCs w:val="16"/>
      </w:rPr>
      <w:t xml:space="preserve">Moori Interiors  |  Business Goal Research</w:t>
    </w:r>
    <w:r>
      <w:rPr>
        <w:rFonts w:ascii="Arial" w:cs="Arial" w:eastAsia="Arial" w:hAnsi="Arial"/>
        <w:color w:val="5B6270"/>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abstractNum w:abstractNumId="6" w15:restartNumberingAfterBreak="0">
    <w:multiLevelType w:val="hybridMultilevel"/>
    <w:lvl w:ilvl="0" w:tentative="1">
      <w:start w:val="1"/>
      <w:numFmt w:val="decimal"/>
      <w:lvlText w:val="%1."/>
      <w:lvlJc w:val="left"/>
      <w:pPr>
        <w:ind w:left="540" w:hanging="300"/>
      </w:pPr>
    </w:lvl>
  </w:abstractNum>
  <w:abstractNum w:abstractNumId="7" w15:restartNumberingAfterBreak="0">
    <w:multiLevelType w:val="hybridMultilevel"/>
    <w:lvl w:ilvl="0" w:tentative="1">
      <w:start w:val="1"/>
      <w:numFmt w:val="decimal"/>
      <w:lvlText w:val="%1."/>
      <w:lvlJc w:val="left"/>
      <w:pPr>
        <w:ind w:left="540" w:hanging="300"/>
      </w:pPr>
    </w:lvl>
  </w:abstractNum>
  <w:abstractNum w:abstractNumId="8"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1E1E"/>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A07A45" w:sz="10" w:space="6"/>
      </w:pBdr>
      <w:spacing w:after="220" w:before="120"/>
      <w:outlineLvl w:val="0"/>
    </w:pPr>
    <w:rPr>
      <w:rFonts w:ascii="Arial" w:cs="Arial" w:eastAsia="Arial" w:hAnsi="Arial"/>
      <w:b/>
      <w:bCs/>
      <w:color w:val="1F2A44"/>
      <w:sz w:val="34"/>
      <w:szCs w:val="34"/>
    </w:rPr>
  </w:style>
  <w:style w:type="paragraph" w:styleId="Heading2">
    <w:name w:val="Heading 2"/>
    <w:basedOn w:val="Normal"/>
    <w:next w:val="Normal"/>
    <w:qFormat/>
    <w:pPr>
      <w:spacing w:after="140" w:before="300"/>
      <w:outlineLvl w:val="1"/>
    </w:pPr>
    <w:rPr>
      <w:rFonts w:ascii="Arial" w:cs="Arial" w:eastAsia="Arial" w:hAnsi="Arial"/>
      <w:b/>
      <w:bCs/>
      <w:color w:val="1F2A44"/>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A07A45"/>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Goal Research</dc:title>
  <dc:creator>Growthmak</dc:creator>
  <cp:lastModifiedBy>Un-named</cp:lastModifiedBy>
  <cp:revision>1</cp:revision>
  <dcterms:created xsi:type="dcterms:W3CDTF">2026-10-27T16:14:58.187Z</dcterms:created>
  <dcterms:modified xsi:type="dcterms:W3CDTF">2026-10-27T16:14:58.188Z</dcterms:modified>
</cp:coreProperties>
</file>

<file path=docProps/custom.xml><?xml version="1.0" encoding="utf-8"?>
<Properties xmlns="http://schemas.openxmlformats.org/officeDocument/2006/custom-properties" xmlns:vt="http://schemas.openxmlformats.org/officeDocument/2006/docPropsVTypes"/>
</file>