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A07A45"/>
          <w:spacing w:val="40"/>
          <w:sz w:val="18"/>
          <w:szCs w:val="18"/>
        </w:rPr>
        <w:t xml:space="preserve">MOORI INTERIORS  ·  WEBSITE GROWTH PROGRAMME</w:t>
      </w:r>
    </w:p>
    <w:p>
      <w:pPr>
        <w:pBdr>
          <w:bottom w:val="single" w:color="A07A45" w:sz="12" w:space="8"/>
        </w:pBdr>
        <w:spacing w:after="300"/>
      </w:pPr>
      <w:r>
        <w:rPr>
          <w:rFonts w:ascii="Arial" w:cs="Arial" w:eastAsia="Arial" w:hAnsi="Arial"/>
          <w:b/>
          <w:bCs/>
          <w:color w:val="1F2A44"/>
          <w:sz w:val="60"/>
          <w:szCs w:val="60"/>
        </w:rPr>
        <w:t xml:space="preserve">ICP &amp; Persona Master Document</w:t>
      </w:r>
    </w:p>
    <w:p>
      <w:pPr>
        <w:spacing w:after="900"/>
      </w:pPr>
      <w:r>
        <w:rPr>
          <w:rFonts w:ascii="Arial" w:cs="Arial" w:eastAsia="Arial" w:hAnsi="Arial"/>
          <w:color w:val="5B6270"/>
          <w:sz w:val="26"/>
          <w:szCs w:val="26"/>
        </w:rPr>
        <w:t xml:space="preserve">Who Moori Interiors' website should attract, how to recognise them before the first call, and who to screen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Classification</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Confidential — internal and client review</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Version</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v1.0 (evidence-locked draft)</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Date</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27 October 2026</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Primary use</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Website sitemap and copy, ad targeting, enquiry-form qualification, sales briefing</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Owner</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Growthmak for Moori Interiors (Sooraj Sekhar)</w:t>
            </w:r>
          </w:p>
        </w:tc>
      </w:tr>
      <w:tr>
        <w:tc>
          <w:tcPr>
            <w:tcW w:type="dxa" w:w="2600"/>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9"/>
                <w:szCs w:val="19"/>
              </w:rPr>
              <w:t xml:space="preserve">Built from</w:t>
            </w:r>
          </w:p>
        </w:tc>
        <w:tc>
          <w:tcPr>
            <w:tcW w:type="dxa" w:w="714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9"/>
                <w:szCs w:val="19"/>
              </w:rPr>
              <w:t xml:space="preserve">Business Goal Research (27 Oct 2026): discovery call + moori.ae + Instagram, LinkedIn, Pinterest + Google Maps data</w:t>
            </w:r>
          </w:p>
        </w:tc>
      </w:tr>
    </w:tbl>
    <w:p>
      <w:pPr>
        <w:spacing w:before="1400"/>
      </w:pPr>
      <w:r>
        <w:rPr>
          <w:rFonts w:ascii="Arial" w:cs="Arial" w:eastAsia="Arial" w:hAnsi="Arial"/>
          <w:i/>
          <w:iCs/>
          <w:color w:val="5B6270"/>
          <w:sz w:val="17"/>
          <w:szCs w:val="17"/>
        </w:rPr>
        <w:t xml:space="preserve">Prepared by Growthmak for Moori Interiors. Confidential — for internal planning and client review.</w:t>
      </w:r>
    </w:p>
    <w:p>
      <w:pPr>
        <w:pageBreakBefore/>
        <w:pBdr>
          <w:bottom w:val="single" w:color="A07A45" w:sz="10" w:space="6"/>
        </w:pBdr>
        <w:spacing w:after="220"/>
      </w:pPr>
      <w:r>
        <w:rPr>
          <w:rFonts w:ascii="Arial" w:cs="Arial" w:eastAsia="Arial" w:hAnsi="Arial"/>
          <w:b/>
          <w:bCs/>
          <w:color w:val="1F2A44"/>
          <w:sz w:val="34"/>
          <w:szCs w:val="34"/>
        </w:rPr>
        <w:t xml:space="preserve">Contents</w:t>
      </w:r>
    </w:p>
    <w:p>
      <w:pPr>
        <w:spacing w:after="120"/>
      </w:pPr>
      <w:r>
        <w:rPr>
          <w:rFonts w:ascii="Arial" w:cs="Arial" w:eastAsia="Arial" w:hAnsi="Arial"/>
          <w:b/>
          <w:bCs/>
          <w:color w:val="1F2A44"/>
          <w:sz w:val="22"/>
          <w:szCs w:val="22"/>
        </w:rPr>
        <w:t xml:space="preserve">How to use this document</w:t>
      </w:r>
    </w:p>
    <w:p>
      <w:pPr>
        <w:spacing w:after="120"/>
      </w:pPr>
      <w:r>
        <w:rPr>
          <w:rFonts w:ascii="Arial" w:cs="Arial" w:eastAsia="Arial" w:hAnsi="Arial"/>
          <w:b/>
          <w:bCs/>
          <w:color w:val="1F2A44"/>
          <w:sz w:val="22"/>
          <w:szCs w:val="22"/>
        </w:rPr>
        <w:t xml:space="preserve">Interview inputs — evidence lock</w:t>
      </w:r>
      <w:r>
        <w:rPr>
          <w:rFonts w:ascii="Arial" w:cs="Arial" w:eastAsia="Arial" w:hAnsi="Arial"/>
          <w:color w:val="5B6270"/>
          <w:sz w:val="19"/>
          <w:szCs w:val="19"/>
        </w:rPr>
        <w:t xml:space="preserve">  —  the 9 ICP inputs and how firmly each is known</w:t>
      </w:r>
    </w:p>
    <w:p>
      <w:pPr>
        <w:spacing w:after="120"/>
      </w:pPr>
      <w:r>
        <w:rPr>
          <w:rFonts w:ascii="Arial" w:cs="Arial" w:eastAsia="Arial" w:hAnsi="Arial"/>
          <w:b/>
          <w:bCs/>
          <w:color w:val="1F2A44"/>
          <w:sz w:val="22"/>
          <w:szCs w:val="22"/>
        </w:rPr>
        <w:t xml:space="preserve">Section 1 — The Ideal Customer Profile</w:t>
      </w:r>
      <w:r>
        <w:rPr>
          <w:rFonts w:ascii="Arial" w:cs="Arial" w:eastAsia="Arial" w:hAnsi="Arial"/>
          <w:color w:val="5B6270"/>
          <w:sz w:val="19"/>
          <w:szCs w:val="19"/>
        </w:rPr>
        <w:t xml:space="preserve">  —  hard filters, property profile, urgency signals</w:t>
      </w:r>
    </w:p>
    <w:p>
      <w:pPr>
        <w:spacing w:after="120"/>
      </w:pPr>
      <w:r>
        <w:rPr>
          <w:rFonts w:ascii="Arial" w:cs="Arial" w:eastAsia="Arial" w:hAnsi="Arial"/>
          <w:b/>
          <w:bCs/>
          <w:color w:val="1F2A44"/>
          <w:sz w:val="22"/>
          <w:szCs w:val="22"/>
        </w:rPr>
        <w:t xml:space="preserve">Section 2 — Persona deep-dive</w:t>
      </w:r>
      <w:r>
        <w:rPr>
          <w:rFonts w:ascii="Arial" w:cs="Arial" w:eastAsia="Arial" w:hAnsi="Arial"/>
          <w:color w:val="5B6270"/>
          <w:sz w:val="19"/>
          <w:szCs w:val="19"/>
        </w:rPr>
        <w:t xml:space="preserve">  —  the three buyer archetypes and what they are judged on</w:t>
      </w:r>
    </w:p>
    <w:p>
      <w:pPr>
        <w:spacing w:after="120"/>
      </w:pPr>
      <w:r>
        <w:rPr>
          <w:rFonts w:ascii="Arial" w:cs="Arial" w:eastAsia="Arial" w:hAnsi="Arial"/>
          <w:b/>
          <w:bCs/>
          <w:color w:val="1F2A44"/>
          <w:sz w:val="22"/>
          <w:szCs w:val="22"/>
        </w:rPr>
        <w:t xml:space="preserve">Section 3 — Challenger messaging</w:t>
      </w:r>
      <w:r>
        <w:rPr>
          <w:rFonts w:ascii="Arial" w:cs="Arial" w:eastAsia="Arial" w:hAnsi="Arial"/>
          <w:color w:val="5B6270"/>
          <w:sz w:val="19"/>
          <w:szCs w:val="19"/>
        </w:rPr>
        <w:t xml:space="preserve">  —  status quo vs Moori, three hooks, case-study deployment</w:t>
      </w:r>
    </w:p>
    <w:p>
      <w:pPr>
        <w:spacing w:after="120"/>
      </w:pPr>
      <w:r>
        <w:rPr>
          <w:rFonts w:ascii="Arial" w:cs="Arial" w:eastAsia="Arial" w:hAnsi="Arial"/>
          <w:b/>
          <w:bCs/>
          <w:color w:val="1F2A44"/>
          <w:sz w:val="22"/>
          <w:szCs w:val="22"/>
        </w:rPr>
        <w:t xml:space="preserve">Section 4 — Negative ICP</w:t>
      </w:r>
      <w:r>
        <w:rPr>
          <w:rFonts w:ascii="Arial" w:cs="Arial" w:eastAsia="Arial" w:hAnsi="Arial"/>
          <w:color w:val="5B6270"/>
          <w:sz w:val="19"/>
          <w:szCs w:val="19"/>
        </w:rPr>
        <w:t xml:space="preserve">  —  hard no list, red flags, objection handling</w:t>
      </w:r>
    </w:p>
    <w:p>
      <w:pPr>
        <w:spacing w:after="120"/>
      </w:pPr>
      <w:r>
        <w:rPr>
          <w:rFonts w:ascii="Arial" w:cs="Arial" w:eastAsia="Arial" w:hAnsi="Arial"/>
          <w:b/>
          <w:bCs/>
          <w:color w:val="1F2A44"/>
          <w:sz w:val="22"/>
          <w:szCs w:val="22"/>
        </w:rPr>
        <w:t xml:space="preserve">Appendix — Quick reference card</w:t>
      </w:r>
      <w:r>
        <w:rPr>
          <w:rFonts w:ascii="Arial" w:cs="Arial" w:eastAsia="Arial" w:hAnsi="Arial"/>
          <w:color w:val="5B6270"/>
          <w:sz w:val="19"/>
          <w:szCs w:val="19"/>
        </w:rPr>
        <w:t xml:space="preserve">  —  one-page qualification checklist</w:t>
      </w:r>
    </w:p>
    <w:p>
      <w:pPr>
        <w:pStyle w:val="Heading1"/>
        <w:pageBreakBefore/>
      </w:pPr>
      <w:r>
        <w:rPr>
          <w:rFonts w:ascii="Arial" w:cs="Arial" w:eastAsia="Arial" w:hAnsi="Arial"/>
        </w:rPr>
        <w:t xml:space="preserve">How to use this document</w:t>
      </w:r>
    </w:p>
    <w:p>
      <w:pPr>
        <w:spacing w:after="140" w:before="0" w:line="300"/>
        <w:jc w:val="left"/>
      </w:pPr>
      <w:r>
        <w:rPr>
          <w:rFonts w:ascii="Arial" w:cs="Arial" w:eastAsia="Arial" w:hAnsi="Arial"/>
          <w:color w:val="1E1E1E"/>
          <w:sz w:val="21"/>
          <w:szCs w:val="21"/>
        </w:rPr>
        <w:t xml:space="preserve">This is a targeting document for Moori's </w:t>
      </w:r>
      <w:r>
        <w:rPr>
          <w:rFonts w:ascii="Arial" w:cs="Arial" w:eastAsia="Arial" w:hAnsi="Arial"/>
          <w:b/>
          <w:bCs/>
          <w:color w:val="1E1E1E"/>
          <w:sz w:val="21"/>
          <w:szCs w:val="21"/>
        </w:rPr>
        <w:t xml:space="preserve">clients</w:t>
      </w:r>
      <w:r>
        <w:rPr>
          <w:rFonts w:ascii="Arial" w:cs="Arial" w:eastAsia="Arial" w:hAnsi="Arial"/>
          <w:color w:val="1E1E1E"/>
          <w:sz w:val="21"/>
          <w:szCs w:val="21"/>
        </w:rPr>
        <w:t xml:space="preserve"> (homeowners and F&amp;B operators), not for Moori as a Growthmak client. It tells the website, the ads and the enquiry form who to speak to and who to filter out. It is built strictly from the Business Goal Research: nothing here comes from generic interior-design assumptions. Where the evidence is thin, the item is marked and listed for confirmation with Sooraj.</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5105"/>
        <w:gridCol w:w="3017"/>
      </w:tblGrid>
      <w:tr>
        <w:trPr>
          <w:tblHeader/>
        </w:trPr>
        <w:tc>
          <w:tcPr>
            <w:tcW w:type="dxa" w:w="162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Section</w:t>
            </w:r>
          </w:p>
        </w:tc>
        <w:tc>
          <w:tcPr>
            <w:tcW w:type="dxa" w:w="510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Purpose</w:t>
            </w:r>
          </w:p>
        </w:tc>
        <w:tc>
          <w:tcPr>
            <w:tcW w:type="dxa" w:w="3017"/>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Used by</w:t>
            </w:r>
          </w:p>
        </w:tc>
      </w:tr>
      <w:tr>
        <w:trPr>
          <w:cantSplit/>
        </w:trPr>
        <w:tc>
          <w:tcPr>
            <w:tcW w:type="dxa" w:w="162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 — ICP</w:t>
            </w:r>
          </w:p>
        </w:tc>
        <w:tc>
          <w:tcPr>
            <w:tcW w:type="dxa" w:w="510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Firmographic-style hard filters for a homeowner or F&amp;B operator, property readiness profile, urgency signals</w:t>
            </w:r>
          </w:p>
        </w:tc>
        <w:tc>
          <w:tcPr>
            <w:tcW w:type="dxa" w:w="301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Ad targeting, sitemap, form fields</w:t>
            </w:r>
          </w:p>
        </w:tc>
      </w:tr>
      <w:tr>
        <w:trPr>
          <w:cantSplit/>
        </w:trPr>
        <w:tc>
          <w:tcPr>
            <w:tcW w:type="dxa" w:w="162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 — Personas</w:t>
            </w:r>
          </w:p>
        </w:tc>
        <w:tc>
          <w:tcPr>
            <w:tcW w:type="dxa" w:w="510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The humans who decide, what they fear, what they are judged on</w:t>
            </w:r>
          </w:p>
        </w:tc>
        <w:tc>
          <w:tcPr>
            <w:tcW w:type="dxa" w:w="301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Copywriting, project-page structure, sales calls</w:t>
            </w:r>
          </w:p>
        </w:tc>
      </w:tr>
      <w:tr>
        <w:trPr>
          <w:cantSplit/>
        </w:trPr>
        <w:tc>
          <w:tcPr>
            <w:tcW w:type="dxa" w:w="162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 — Messaging</w:t>
            </w:r>
          </w:p>
        </w:tc>
        <w:tc>
          <w:tcPr>
            <w:tcW w:type="dxa" w:w="510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How Moori beats the status quo (contractor "free design", other designers)</w:t>
            </w:r>
          </w:p>
        </w:tc>
        <w:tc>
          <w:tcPr>
            <w:tcW w:type="dxa" w:w="301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Homepage, landing pages, ads</w:t>
            </w:r>
          </w:p>
        </w:tc>
      </w:tr>
      <w:tr>
        <w:trPr>
          <w:cantSplit/>
        </w:trPr>
        <w:tc>
          <w:tcPr>
            <w:tcW w:type="dxa" w:w="162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4 — Negative ICP</w:t>
            </w:r>
          </w:p>
        </w:tc>
        <w:tc>
          <w:tcPr>
            <w:tcW w:type="dxa" w:w="510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What to filter out before a call is booked</w:t>
            </w:r>
          </w:p>
        </w:tc>
        <w:tc>
          <w:tcPr>
            <w:tcW w:type="dxa" w:w="301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Form logic, ad negatives, triage</w:t>
            </w:r>
          </w:p>
        </w:tc>
      </w:tr>
      <w:tr>
        <w:trPr>
          <w:cantSplit/>
        </w:trPr>
        <w:tc>
          <w:tcPr>
            <w:tcW w:type="dxa" w:w="162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Quick reference</w:t>
            </w:r>
          </w:p>
        </w:tc>
        <w:tc>
          <w:tcPr>
            <w:tcW w:type="dxa" w:w="510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One-page checklist</w:t>
            </w:r>
          </w:p>
        </w:tc>
        <w:tc>
          <w:tcPr>
            <w:tcW w:type="dxa" w:w="301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Whoever answers WhatsApp and enquiries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54708" w:sz="18"/>
              <w:left w:val="single" w:color="D9D4CB" w:sz="4"/>
              <w:bottom w:val="single" w:color="D9D4CB" w:sz="4"/>
              <w:right w:val="single" w:color="D9D4CB" w:sz="4"/>
            </w:tcBorders>
            <w:shd w:fill="FEF3E2" w:color="auto" w:val="clear"/>
            <w:tcMar>
              <w:top w:type="dxa" w:w="140"/>
              <w:left w:type="dxa" w:w="200"/>
              <w:bottom w:type="dxa" w:w="140"/>
              <w:right w:type="dxa" w:w="200"/>
            </w:tcMar>
          </w:tcPr>
          <w:p>
            <w:pPr>
              <w:spacing w:after="80"/>
            </w:pPr>
            <w:r>
              <w:rPr>
                <w:rFonts w:ascii="Arial" w:cs="Arial" w:eastAsia="Arial" w:hAnsi="Arial"/>
                <w:b/>
                <w:bCs/>
                <w:color w:val="B54708"/>
                <w:sz w:val="21"/>
                <w:szCs w:val="21"/>
              </w:rPr>
              <w:t xml:space="preserve">How the 9-question interview was handled</w:t>
            </w:r>
          </w:p>
          <w:p>
            <w:pPr>
              <w:spacing w:after="60" w:line="290"/>
            </w:pPr>
            <w:r>
              <w:rPr>
                <w:rFonts w:ascii="Arial" w:cs="Arial" w:eastAsia="Arial" w:hAnsi="Arial"/>
                <w:color w:val="1E1E1E"/>
                <w:sz w:val="20"/>
                <w:szCs w:val="20"/>
              </w:rPr>
              <w:t xml:space="preserve">The ICP method normally runs a live 9-question interview with the business owner. Here the inputs were taken from the 27 October discovery call and Moori's own published material (testimonials, FAQs, pricing, project pages), as instructed. The table on the next page shows each input, its evidence and whether it is confirmed, partial or still open.</w:t>
            </w:r>
          </w:p>
          <w:p>
            <w:pPr>
              <w:spacing w:after="60" w:line="290"/>
            </w:pPr>
            <w:r>
              <w:rPr>
                <w:rFonts w:ascii="Arial" w:cs="Arial" w:eastAsia="Arial" w:hAnsi="Arial"/>
                <w:color w:val="1E1E1E"/>
                <w:sz w:val="20"/>
                <w:szCs w:val="20"/>
              </w:rPr>
              <w:t xml:space="preserve">Open items are not filled with assumptions. They are listed as questions for the plan review on 28/29 October.</w:t>
            </w:r>
          </w:p>
        </w:tc>
      </w:tr>
    </w:tbl>
    <w:p>
      <w:pPr>
        <w:spacing w:after="160"/>
      </w:pPr>
    </w:p>
    <w:p>
      <w:pPr>
        <w:pStyle w:val="Heading1"/>
        <w:pageBreakBefore/>
      </w:pPr>
      <w:r>
        <w:rPr>
          <w:rFonts w:ascii="Arial" w:cs="Arial" w:eastAsia="Arial" w:hAnsi="Arial"/>
        </w:rPr>
        <w:t xml:space="preserve">Interview inputs — evidence lock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6"/>
        <w:gridCol w:w="1926"/>
        <w:gridCol w:w="5892"/>
        <w:gridCol w:w="1362"/>
      </w:tblGrid>
      <w:tr>
        <w:trPr>
          <w:tblHeader/>
        </w:trPr>
        <w:tc>
          <w:tcPr>
            <w:tcW w:type="dxa" w:w="566"/>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t>
            </w:r>
          </w:p>
        </w:tc>
        <w:tc>
          <w:tcPr>
            <w:tcW w:type="dxa" w:w="1926"/>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Input</w:t>
            </w:r>
          </w:p>
        </w:tc>
        <w:tc>
          <w:tcPr>
            <w:tcW w:type="dxa" w:w="589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What the evidence says</w:t>
            </w:r>
          </w:p>
        </w:tc>
        <w:tc>
          <w:tcPr>
            <w:tcW w:type="dxa" w:w="136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Status</w:t>
            </w:r>
          </w:p>
        </w:tc>
      </w:tr>
      <w:tr>
        <w:trPr>
          <w:cantSplit/>
        </w:trPr>
        <w:tc>
          <w:tcPr>
            <w:tcW w:type="dxa" w:w="5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Q1</w:t>
            </w:r>
          </w:p>
        </w:tc>
        <w:tc>
          <w:tcPr>
            <w:tcW w:type="dxa" w:w="19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Top deals (winners)</w:t>
            </w:r>
          </w:p>
        </w:tc>
        <w:tc>
          <w:tcPr>
            <w:tcW w:type="dxa" w:w="58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Delivered residential projects 2024–25 in DAMAC Hills, Tilal Al Ghaf (villa + townhouse), Al Barari, Jumeirah Golf Estates, Nadd Al Sheba, Dubai Marina (2 apartments); landscapes at The Trump Estates and Yas Noya; F&amp;B Savane and Levante. Four named testimonial clients. Deal values not shared.</w:t>
            </w:r>
          </w:p>
        </w:tc>
        <w:tc>
          <w:tcPr>
            <w:tcW w:type="dxa" w:w="1362"/>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r>
      <w:tr>
        <w:trPr>
          <w:cantSplit/>
        </w:trPr>
        <w:tc>
          <w:tcPr>
            <w:tcW w:type="dxa" w:w="5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Q2</w:t>
            </w:r>
          </w:p>
        </w:tc>
        <w:tc>
          <w:tcPr>
            <w:tcW w:type="dxa" w:w="192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Churn / bad-fit clients</w:t>
            </w:r>
          </w:p>
        </w:tc>
        <w:tc>
          <w:tcPr>
            <w:tcW w:type="dxa" w:w="589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Not discussed. Only lost-deal pattern stated: prospects who only wanted a contractor.</w:t>
            </w:r>
          </w:p>
        </w:tc>
        <w:tc>
          <w:tcPr>
            <w:tcW w:type="dxa" w:w="1362"/>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Open question</w:t>
            </w:r>
          </w:p>
        </w:tc>
      </w:tr>
      <w:tr>
        <w:trPr>
          <w:cantSplit/>
        </w:trPr>
        <w:tc>
          <w:tcPr>
            <w:tcW w:type="dxa" w:w="5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Q3</w:t>
            </w:r>
          </w:p>
        </w:tc>
        <w:tc>
          <w:tcPr>
            <w:tcW w:type="dxa" w:w="19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First-call frustrations</w:t>
            </w:r>
          </w:p>
        </w:tc>
        <w:tc>
          <w:tcPr>
            <w:tcW w:type="dxa" w:w="58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Homepage: apprehension that designers do not share their design language, miss emotional nuance, generational realities and future aspirations. Testimonials: wanting to be heard, non-pushy, transparent on finances.</w:t>
            </w:r>
          </w:p>
        </w:tc>
        <w:tc>
          <w:tcPr>
            <w:tcW w:type="dxa" w:w="1362"/>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Confirmed</w:t>
            </w:r>
          </w:p>
        </w:tc>
      </w:tr>
      <w:tr>
        <w:trPr>
          <w:cantSplit/>
        </w:trPr>
        <w:tc>
          <w:tcPr>
            <w:tcW w:type="dxa" w:w="5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Q4</w:t>
            </w:r>
          </w:p>
        </w:tc>
        <w:tc>
          <w:tcPr>
            <w:tcW w:type="dxa" w:w="192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Wallet filter</w:t>
            </w:r>
          </w:p>
        </w:tc>
        <w:tc>
          <w:tcPr>
            <w:tcW w:type="dxa" w:w="589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 tier AED 12,000–40,000; turnkey from AED 100,000; "typically 2–5 bedroom residences". Minimum qualifying value requested from Sooraj and pending.</w:t>
            </w:r>
          </w:p>
        </w:tc>
        <w:tc>
          <w:tcPr>
            <w:tcW w:type="dxa" w:w="1362"/>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r>
      <w:tr>
        <w:trPr>
          <w:cantSplit/>
        </w:trPr>
        <w:tc>
          <w:tcPr>
            <w:tcW w:type="dxa" w:w="5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Q5</w:t>
            </w:r>
          </w:p>
        </w:tc>
        <w:tc>
          <w:tcPr>
            <w:tcW w:type="dxa" w:w="19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Property &amp; readiness profile (replaces "tech stack")</w:t>
            </w:r>
          </w:p>
        </w:tc>
        <w:tc>
          <w:tcPr>
            <w:tcW w:type="dxa" w:w="58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Villas, townhouses, apartments; F&amp;B venues. Not offices. Services include new fit-out, renovation (interior and exterior), furniture-only, landscape.</w:t>
            </w:r>
          </w:p>
        </w:tc>
        <w:tc>
          <w:tcPr>
            <w:tcW w:type="dxa" w:w="1362"/>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Confirmed</w:t>
            </w:r>
          </w:p>
        </w:tc>
      </w:tr>
      <w:tr>
        <w:trPr>
          <w:cantSplit/>
        </w:trPr>
        <w:tc>
          <w:tcPr>
            <w:tcW w:type="dxa" w:w="5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Q6</w:t>
            </w:r>
          </w:p>
        </w:tc>
        <w:tc>
          <w:tcPr>
            <w:tcW w:type="dxa" w:w="192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Competitors</w:t>
            </w:r>
          </w:p>
        </w:tc>
        <w:tc>
          <w:tcPr>
            <w:tcW w:type="dxa" w:w="589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Stated: other designers (Moori priced competitively) and contractors offering design free. Search data adds named firms (see Competitor Analysis).</w:t>
            </w:r>
          </w:p>
        </w:tc>
        <w:tc>
          <w:tcPr>
            <w:tcW w:type="dxa" w:w="1362"/>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Confirmed</w:t>
            </w:r>
          </w:p>
        </w:tc>
      </w:tr>
      <w:tr>
        <w:trPr>
          <w:cantSplit/>
        </w:trPr>
        <w:tc>
          <w:tcPr>
            <w:tcW w:type="dxa" w:w="5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Q7</w:t>
            </w:r>
          </w:p>
        </w:tc>
        <w:tc>
          <w:tcPr>
            <w:tcW w:type="dxa" w:w="19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KPI owner</w:t>
            </w:r>
          </w:p>
        </w:tc>
        <w:tc>
          <w:tcPr>
            <w:tcW w:type="dxa" w:w="58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Residential: the homeowner(s) — sometimes managing remotely (testimonial: owner based in Germany). F&amp;B: owner/operator (no testimonial evidence yet).</w:t>
            </w:r>
          </w:p>
        </w:tc>
        <w:tc>
          <w:tcPr>
            <w:tcW w:type="dxa" w:w="1362"/>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r>
      <w:tr>
        <w:trPr>
          <w:cantSplit/>
        </w:trPr>
        <w:tc>
          <w:tcPr>
            <w:tcW w:type="dxa" w:w="5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Q8</w:t>
            </w:r>
          </w:p>
        </w:tc>
        <w:tc>
          <w:tcPr>
            <w:tcW w:type="dxa" w:w="192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"Why now?" triggers</w:t>
            </w:r>
          </w:p>
        </w:tc>
        <w:tc>
          <w:tcPr>
            <w:tcW w:type="dxa" w:w="589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Not discussed on the call. Moori's own copy points to: a home at developer finish, renovation of kitchens/bathrooms, multigenerational living changes, an F&amp;B opening.</w:t>
            </w:r>
          </w:p>
        </w:tc>
        <w:tc>
          <w:tcPr>
            <w:tcW w:type="dxa" w:w="1362"/>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r>
      <w:tr>
        <w:trPr>
          <w:cantSplit/>
        </w:trPr>
        <w:tc>
          <w:tcPr>
            <w:tcW w:type="dxa" w:w="5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Q9</w:t>
            </w:r>
          </w:p>
        </w:tc>
        <w:tc>
          <w:tcPr>
            <w:tcW w:type="dxa" w:w="192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Objections from qualified prospects</w:t>
            </w:r>
          </w:p>
        </w:tc>
        <w:tc>
          <w:tcPr>
            <w:tcW w:type="dxa" w:w="589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Price is not usually the reason (stated). Contractor's free design (stated). Moori's FAQs anticipate: when the contract starts, mid-project changes, quality control, budget.</w:t>
            </w:r>
          </w:p>
        </w:tc>
        <w:tc>
          <w:tcPr>
            <w:tcW w:type="dxa" w:w="1362"/>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r>
    </w:tbl>
    <w:p>
      <w:pPr>
        <w:spacing w:after="120"/>
      </w:pPr>
    </w:p>
    <w:p>
      <w:pPr>
        <w:pStyle w:val="Heading1"/>
        <w:pageBreakBefore/>
      </w:pPr>
      <w:r>
        <w:rPr>
          <w:rFonts w:ascii="Arial" w:cs="Arial" w:eastAsia="Arial" w:hAnsi="Arial"/>
        </w:rPr>
        <w:t xml:space="preserve">Section 1 — The Ideal Customer Profile</w:t>
      </w:r>
    </w:p>
    <w:p>
      <w:pPr>
        <w:pStyle w:val="Heading2"/>
        <w:keepNext/>
      </w:pPr>
      <w:r>
        <w:rPr>
          <w:rFonts w:ascii="Arial" w:cs="Arial" w:eastAsia="Arial" w:hAnsi="Arial"/>
        </w:rPr>
        <w:t xml:space="preserve">1.1 Hard filters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2815"/>
        <w:gridCol w:w="2815"/>
        <w:gridCol w:w="2817"/>
      </w:tblGrid>
      <w:tr>
        <w:trPr>
          <w:tblHeader/>
        </w:trPr>
        <w:tc>
          <w:tcPr>
            <w:tcW w:type="dxa" w:w="1299"/>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Filter</w:t>
            </w:r>
          </w:p>
        </w:tc>
        <w:tc>
          <w:tcPr>
            <w:tcW w:type="dxa" w:w="281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Ideal</w:t>
            </w:r>
          </w:p>
        </w:tc>
        <w:tc>
          <w:tcPr>
            <w:tcW w:type="dxa" w:w="281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Acceptable</w:t>
            </w:r>
          </w:p>
        </w:tc>
        <w:tc>
          <w:tcPr>
            <w:tcW w:type="dxa" w:w="2817"/>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Evidence</w:t>
            </w:r>
          </w:p>
        </w:tc>
      </w:tr>
      <w:tr>
        <w:trPr>
          <w:cantSplit/>
        </w:trPr>
        <w:tc>
          <w:tcPr>
            <w:tcW w:type="dxa" w:w="129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Segment</w:t>
            </w:r>
          </w:p>
        </w:tc>
        <w:tc>
          <w:tcPr>
            <w:tcW w:type="dxa" w:w="281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Owner of a villa or townhouse in an upscale Dubai community</w:t>
            </w:r>
          </w:p>
        </w:tc>
        <w:tc>
          <w:tcPr>
            <w:tcW w:type="dxa" w:w="281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Owner of a high-end apartment; F&amp;B owner/operator (café, restaurant, lounge)</w:t>
            </w:r>
          </w:p>
        </w:tc>
        <w:tc>
          <w:tcPr>
            <w:tcW w:type="dxa" w:w="281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Call: "usually the residential guys"; F&amp;B named as commercial focus</w:t>
            </w:r>
          </w:p>
        </w:tc>
      </w:tr>
      <w:tr>
        <w:trPr>
          <w:cantSplit/>
        </w:trPr>
        <w:tc>
          <w:tcPr>
            <w:tcW w:type="dxa" w:w="129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Property size</w:t>
            </w:r>
          </w:p>
        </w:tc>
        <w:tc>
          <w:tcPr>
            <w:tcW w:type="dxa" w:w="281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3–5 bedrooms (size baseline to confirm)</w:t>
            </w:r>
          </w:p>
        </w:tc>
        <w:tc>
          <w:tcPr>
            <w:tcW w:type="dxa" w:w="281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 bedrooms if scope and budget meet the floor</w:t>
            </w:r>
          </w:p>
        </w:tc>
        <w:tc>
          <w:tcPr>
            <w:tcW w:type="dxa" w:w="281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Pricing: "typically 2–5 bedroom residences"; 4–5 BHK proposed by Growthmak, unconfirmed</w:t>
            </w:r>
          </w:p>
        </w:tc>
      </w:tr>
      <w:tr>
        <w:trPr>
          <w:cantSplit/>
        </w:trPr>
        <w:tc>
          <w:tcPr>
            <w:tcW w:type="dxa" w:w="129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Wallet</w:t>
            </w:r>
          </w:p>
        </w:tc>
        <w:tc>
          <w:tcPr>
            <w:tcW w:type="dxa" w:w="281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Turnkey project from AED 100,000</w:t>
            </w:r>
          </w:p>
        </w:tc>
        <w:tc>
          <w:tcPr>
            <w:tcW w:type="dxa" w:w="281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Design-only engagement AED 12,000–40,000</w:t>
            </w:r>
          </w:p>
        </w:tc>
        <w:tc>
          <w:tcPr>
            <w:tcW w:type="dxa" w:w="281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Pricing table; minimum AOV pending from Sooraj</w:t>
            </w:r>
          </w:p>
        </w:tc>
      </w:tr>
      <w:tr>
        <w:trPr>
          <w:cantSplit/>
        </w:trPr>
        <w:tc>
          <w:tcPr>
            <w:tcW w:type="dxa" w:w="129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Geography</w:t>
            </w:r>
          </w:p>
        </w:tc>
        <w:tc>
          <w:tcPr>
            <w:tcW w:type="dxa" w:w="281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Dubai communities where Moori has delivered work: DAMAC Hills, Tilal Al Ghaf, Al Barari, Jumeirah Golf Estates, Nadd Al Sheba, Dubai Marina</w:t>
            </w:r>
          </w:p>
        </w:tc>
        <w:tc>
          <w:tcPr>
            <w:tcW w:type="dxa" w:w="281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Other Dubai communities; other emirates (Abu Dhabi — Yas Island delivered)</w:t>
            </w:r>
          </w:p>
        </w:tc>
        <w:tc>
          <w:tcPr>
            <w:tcW w:type="dxa" w:w="281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Project pages; FAQ "all emirates"</w:t>
            </w:r>
          </w:p>
        </w:tc>
      </w:tr>
      <w:tr>
        <w:trPr>
          <w:cantSplit/>
        </w:trPr>
        <w:tc>
          <w:tcPr>
            <w:tcW w:type="dxa" w:w="129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Intent</w:t>
            </w:r>
          </w:p>
        </w:tc>
        <w:tc>
          <w:tcPr>
            <w:tcW w:type="dxa" w:w="281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Wants a designer and is open to design + execution</w:t>
            </w:r>
          </w:p>
        </w:tc>
        <w:tc>
          <w:tcPr>
            <w:tcW w:type="dxa" w:w="281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Wants design only, using own contractor</w:t>
            </w:r>
          </w:p>
        </w:tc>
        <w:tc>
          <w:tcPr>
            <w:tcW w:type="dxa" w:w="281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Call: qualification = designer vs contractor-only</w:t>
            </w:r>
          </w:p>
        </w:tc>
      </w:tr>
      <w:tr>
        <w:trPr>
          <w:cantSplit/>
        </w:trPr>
        <w:tc>
          <w:tcPr>
            <w:tcW w:type="dxa" w:w="129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Involvement</w:t>
            </w:r>
          </w:p>
        </w:tc>
        <w:tc>
          <w:tcPr>
            <w:tcW w:type="dxa" w:w="281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Wants to take part in decisions ("participatory")</w:t>
            </w:r>
          </w:p>
        </w:tc>
        <w:tc>
          <w:tcPr>
            <w:tcW w:type="dxa" w:w="281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Delegates fully but values transparency</w:t>
            </w:r>
          </w:p>
        </w:tc>
        <w:tc>
          <w:tcPr>
            <w:tcW w:type="dxa" w:w="281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Homepage positioning; testimonials</w:t>
            </w:r>
          </w:p>
        </w:tc>
      </w:tr>
    </w:tbl>
    <w:p>
      <w:pPr>
        <w:spacing w:after="120"/>
      </w:pPr>
    </w:p>
    <w:p>
      <w:pPr>
        <w:pStyle w:val="Heading2"/>
        <w:keepNext/>
      </w:pPr>
      <w:r>
        <w:rPr>
          <w:rFonts w:ascii="Arial" w:cs="Arial" w:eastAsia="Arial" w:hAnsi="Arial"/>
        </w:rPr>
        <w:t xml:space="preserve">1.2 Property and readiness profile</w:t>
      </w:r>
    </w:p>
    <w:p>
      <w:pPr>
        <w:spacing w:after="140" w:before="0" w:line="300"/>
        <w:jc w:val="left"/>
      </w:pPr>
      <w:r>
        <w:rPr>
          <w:rFonts w:ascii="Arial" w:cs="Arial" w:eastAsia="Arial" w:hAnsi="Arial"/>
          <w:color w:val="1E1E1E"/>
          <w:sz w:val="21"/>
          <w:szCs w:val="21"/>
        </w:rPr>
        <w:t xml:space="preserve">In a B2B ICP this would be the technology stack. For Moori's buyers the equivalent is the property situation that lets Moori start well.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64"/>
        <w:gridCol w:w="1082"/>
        <w:gridCol w:w="3900"/>
      </w:tblGrid>
      <w:tr>
        <w:trPr>
          <w:tblHeader/>
        </w:trPr>
        <w:tc>
          <w:tcPr>
            <w:tcW w:type="dxa" w:w="476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Signal</w:t>
            </w:r>
          </w:p>
        </w:tc>
        <w:tc>
          <w:tcPr>
            <w:tcW w:type="dxa" w:w="108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Rating</w:t>
            </w:r>
          </w:p>
        </w:tc>
        <w:tc>
          <w:tcPr>
            <w:tcW w:type="dxa" w:w="3900"/>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Why</w:t>
            </w:r>
          </w:p>
        </w:tc>
      </w:tr>
      <w:tr>
        <w:trPr>
          <w:cantSplit/>
        </w:trPr>
        <w:tc>
          <w:tcPr>
            <w:tcW w:type="dxa" w:w="476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Owned villa/townhouse, at developer finish or due for refurbishment</w:t>
            </w:r>
          </w:p>
        </w:tc>
        <w:tc>
          <w:tcPr>
            <w:tcW w:type="dxa" w:w="1082"/>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Strong</w:t>
            </w:r>
          </w:p>
        </w:tc>
        <w:tc>
          <w:tcPr>
            <w:tcW w:type="dxa" w:w="390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Core of delivered portfolio; full scope possible</w:t>
            </w:r>
          </w:p>
        </w:tc>
      </w:tr>
      <w:tr>
        <w:trPr>
          <w:cantSplit/>
        </w:trPr>
        <w:tc>
          <w:tcPr>
            <w:tcW w:type="dxa" w:w="476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High-end apartment needing full interior (e.g. Dubai Marina towers)</w:t>
            </w:r>
          </w:p>
        </w:tc>
        <w:tc>
          <w:tcPr>
            <w:tcW w:type="dxa" w:w="1082"/>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Strong</w:t>
            </w:r>
          </w:p>
        </w:tc>
        <w:tc>
          <w:tcPr>
            <w:tcW w:type="dxa" w:w="390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Two delivered Marina apartments; Moori notes towers range from "traditional developer finishes" to newer residences</w:t>
            </w:r>
          </w:p>
        </w:tc>
      </w:tr>
      <w:tr>
        <w:trPr>
          <w:cantSplit/>
        </w:trPr>
        <w:tc>
          <w:tcPr>
            <w:tcW w:type="dxa" w:w="476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Multigenerational household reshaping a home</w:t>
            </w:r>
          </w:p>
        </w:tc>
        <w:tc>
          <w:tcPr>
            <w:tcW w:type="dxa" w:w="1082"/>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Strong</w:t>
            </w:r>
          </w:p>
        </w:tc>
        <w:tc>
          <w:tcPr>
            <w:tcW w:type="dxa" w:w="390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Testimonial evidence + published design guide</w:t>
            </w:r>
          </w:p>
        </w:tc>
      </w:tr>
      <w:tr>
        <w:trPr>
          <w:cantSplit/>
        </w:trPr>
        <w:tc>
          <w:tcPr>
            <w:tcW w:type="dxa" w:w="476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Owner living abroad, needing someone to run the project</w:t>
            </w:r>
          </w:p>
        </w:tc>
        <w:tc>
          <w:tcPr>
            <w:tcW w:type="dxa" w:w="1082"/>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Strong</w:t>
            </w:r>
          </w:p>
        </w:tc>
        <w:tc>
          <w:tcPr>
            <w:tcW w:type="dxa" w:w="390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Testimonial evidence (DAMAC Hills owner based in Germany)</w:t>
            </w:r>
          </w:p>
        </w:tc>
      </w:tr>
      <w:tr>
        <w:trPr>
          <w:cantSplit/>
        </w:trPr>
        <w:tc>
          <w:tcPr>
            <w:tcW w:type="dxa" w:w="476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F&amp;B concept with confirmed site</w:t>
            </w:r>
          </w:p>
        </w:tc>
        <w:tc>
          <w:tcPr>
            <w:tcW w:type="dxa" w:w="1082"/>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390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Desired segment; two delivered venues; thin client evidence</w:t>
            </w:r>
          </w:p>
        </w:tc>
      </w:tr>
      <w:tr>
        <w:trPr>
          <w:cantSplit/>
        </w:trPr>
        <w:tc>
          <w:tcPr>
            <w:tcW w:type="dxa" w:w="476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Single-room or kitchen/bath renovation only</w:t>
            </w:r>
          </w:p>
        </w:tc>
        <w:tc>
          <w:tcPr>
            <w:tcW w:type="dxa" w:w="1082"/>
            <w:tcBorders>
              <w:top w:val="single" w:color="D9D4CB" w:sz="4"/>
              <w:left w:val="single" w:color="D9D4CB" w:sz="4"/>
              <w:bottom w:val="single" w:color="D9D4CB" w:sz="4"/>
              <w:right w:val="single" w:color="D9D4CB" w:sz="4"/>
            </w:tcBorders>
            <w:shd w:fill="FEF3E2" w:color="auto" w:val="clear"/>
            <w:tcMar>
              <w:top w:type="dxa" w:w="80"/>
              <w:left w:type="dxa" w:w="110"/>
              <w:bottom w:type="dxa" w:w="80"/>
              <w:right w:type="dxa" w:w="110"/>
            </w:tcMar>
            <w:vAlign w:val="top"/>
          </w:tcPr>
          <w:p>
            <w:pPr>
              <w:spacing w:after="40" w:line="260"/>
            </w:pPr>
            <w:r>
              <w:rPr>
                <w:rFonts w:ascii="Arial" w:cs="Arial" w:eastAsia="Arial" w:hAnsi="Arial"/>
                <w:b/>
                <w:bCs/>
                <w:color w:val="B54708"/>
                <w:sz w:val="18"/>
                <w:szCs w:val="18"/>
              </w:rPr>
              <w:t xml:space="preserve">Partial</w:t>
            </w:r>
          </w:p>
        </w:tc>
        <w:tc>
          <w:tcPr>
            <w:tcW w:type="dxa" w:w="390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Published renovation content; may fall below floor — depends on AOV</w:t>
            </w:r>
          </w:p>
        </w:tc>
      </w:tr>
      <w:tr>
        <w:trPr>
          <w:cantSplit/>
        </w:trPr>
        <w:tc>
          <w:tcPr>
            <w:tcW w:type="dxa" w:w="476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Office fit-out</w:t>
            </w:r>
          </w:p>
        </w:tc>
        <w:tc>
          <w:tcPr>
            <w:tcW w:type="dxa" w:w="1082"/>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No</w:t>
            </w:r>
          </w:p>
        </w:tc>
        <w:tc>
          <w:tcPr>
            <w:tcW w:type="dxa" w:w="390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Stated: not a target</w:t>
            </w:r>
          </w:p>
        </w:tc>
      </w:tr>
      <w:tr>
        <w:trPr>
          <w:cantSplit/>
        </w:trPr>
        <w:tc>
          <w:tcPr>
            <w:tcW w:type="dxa" w:w="476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Wants a builder only, design not valued</w:t>
            </w:r>
          </w:p>
        </w:tc>
        <w:tc>
          <w:tcPr>
            <w:tcW w:type="dxa" w:w="1082"/>
            <w:tcBorders>
              <w:top w:val="single" w:color="D9D4CB" w:sz="4"/>
              <w:left w:val="single" w:color="D9D4CB" w:sz="4"/>
              <w:bottom w:val="single" w:color="D9D4CB" w:sz="4"/>
              <w:right w:val="single" w:color="D9D4CB" w:sz="4"/>
            </w:tcBorders>
            <w:shd w:fill="FDECEA" w:color="auto" w:val="clear"/>
            <w:tcMar>
              <w:top w:type="dxa" w:w="80"/>
              <w:left w:type="dxa" w:w="110"/>
              <w:bottom w:type="dxa" w:w="80"/>
              <w:right w:type="dxa" w:w="110"/>
            </w:tcMar>
            <w:vAlign w:val="top"/>
          </w:tcPr>
          <w:p>
            <w:pPr>
              <w:spacing w:after="40" w:line="260"/>
            </w:pPr>
            <w:r>
              <w:rPr>
                <w:rFonts w:ascii="Arial" w:cs="Arial" w:eastAsia="Arial" w:hAnsi="Arial"/>
                <w:b/>
                <w:bCs/>
                <w:color w:val="B42318"/>
                <w:sz w:val="18"/>
                <w:szCs w:val="18"/>
              </w:rPr>
              <w:t xml:space="preserve">No</w:t>
            </w:r>
          </w:p>
        </w:tc>
        <w:tc>
          <w:tcPr>
            <w:tcW w:type="dxa" w:w="390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Stated qualification failure</w:t>
            </w:r>
          </w:p>
        </w:tc>
      </w:tr>
    </w:tbl>
    <w:p>
      <w:pPr>
        <w:spacing w:after="120"/>
      </w:pPr>
    </w:p>
    <w:p>
      <w:pPr>
        <w:pStyle w:val="Heading2"/>
        <w:keepNext/>
      </w:pPr>
      <w:r>
        <w:rPr>
          <w:rFonts w:ascii="Arial" w:cs="Arial" w:eastAsia="Arial" w:hAnsi="Arial"/>
        </w:rPr>
        <w:t xml:space="preserve">1.3 Urgency signals</w:t>
      </w:r>
    </w:p>
    <w:p>
      <w:pPr>
        <w:spacing w:after="140" w:before="0" w:line="300"/>
        <w:jc w:val="left"/>
      </w:pPr>
      <w:r>
        <w:rPr>
          <w:rFonts w:ascii="Arial" w:cs="Arial" w:eastAsia="Arial" w:hAnsi="Arial"/>
          <w:i/>
          <w:iCs/>
          <w:color w:val="5B6270"/>
          <w:sz w:val="17"/>
          <w:szCs w:val="17"/>
        </w:rPr>
        <w:t xml:space="preserve">None of these were stated on the call as triggers; they are the situations Moori's own services, guides and testimonials address. Validate with Sooraj and with the form's "project stage" answers.</w:t>
      </w:r>
    </w:p>
    <w:p>
      <w:pPr>
        <w:pStyle w:val="Heading3"/>
        <w:keepNext/>
      </w:pPr>
      <w:r>
        <w:rPr>
          <w:rFonts w:ascii="Arial" w:cs="Arial" w:eastAsia="Arial" w:hAnsi="Arial"/>
        </w:rPr>
        <w:t xml:space="preserve">Tier 1 — highest urgency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78"/>
        <w:gridCol w:w="3813"/>
        <w:gridCol w:w="2755"/>
      </w:tblGrid>
      <w:tr>
        <w:trPr>
          <w:tblHeader/>
        </w:trPr>
        <w:tc>
          <w:tcPr>
            <w:tcW w:type="dxa" w:w="3178"/>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Signal</w:t>
            </w:r>
          </w:p>
        </w:tc>
        <w:tc>
          <w:tcPr>
            <w:tcW w:type="dxa" w:w="381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What it means</w:t>
            </w:r>
          </w:p>
        </w:tc>
        <w:tc>
          <w:tcPr>
            <w:tcW w:type="dxa" w:w="275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Evidence</w:t>
            </w:r>
          </w:p>
        </w:tc>
      </w:tr>
      <w:tr>
        <w:trPr>
          <w:cantSplit/>
        </w:trPr>
        <w:tc>
          <w:tcPr>
            <w:tcW w:type="dxa" w:w="317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Handover of a new villa/townhouse or apartment at developer finish</w:t>
            </w:r>
          </w:p>
        </w:tc>
        <w:tc>
          <w:tcPr>
            <w:tcW w:type="dxa" w:w="381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 full interior is needed now; scope is large</w:t>
            </w:r>
          </w:p>
        </w:tc>
        <w:tc>
          <w:tcPr>
            <w:tcW w:type="dxa" w:w="275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Community pages; Marina page note on developer finishes</w:t>
            </w:r>
          </w:p>
        </w:tc>
      </w:tr>
      <w:tr>
        <w:trPr>
          <w:cantSplit/>
        </w:trPr>
        <w:tc>
          <w:tcPr>
            <w:tcW w:type="dxa" w:w="317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Renovation of an existing home already decided</w:t>
            </w:r>
          </w:p>
        </w:tc>
        <w:tc>
          <w:tcPr>
            <w:tcW w:type="dxa" w:w="381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Budget is being allocated; designer vs contractor choice is live</w:t>
            </w:r>
          </w:p>
        </w:tc>
        <w:tc>
          <w:tcPr>
            <w:tcW w:type="dxa" w:w="275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Renovation, kitchen and bathroom guides; "home renovation" service</w:t>
            </w:r>
          </w:p>
        </w:tc>
      </w:tr>
      <w:tr>
        <w:trPr>
          <w:cantSplit/>
        </w:trPr>
        <w:tc>
          <w:tcPr>
            <w:tcW w:type="dxa" w:w="317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F&amp;B venue with a site and opening date</w:t>
            </w:r>
          </w:p>
        </w:tc>
        <w:tc>
          <w:tcPr>
            <w:tcW w:type="dxa" w:w="381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Deadline-driven; design is on the critical path</w:t>
            </w:r>
          </w:p>
        </w:tc>
        <w:tc>
          <w:tcPr>
            <w:tcW w:type="dxa" w:w="275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Savane, Levante; F&amp;B named as target</w:t>
            </w:r>
          </w:p>
        </w:tc>
      </w:tr>
    </w:tbl>
    <w:p>
      <w:pPr>
        <w:spacing w:after="120"/>
      </w:pPr>
    </w:p>
    <w:p>
      <w:pPr>
        <w:pStyle w:val="Heading3"/>
        <w:keepNext/>
      </w:pPr>
      <w:r>
        <w:rPr>
          <w:rFonts w:ascii="Arial" w:cs="Arial" w:eastAsia="Arial" w:hAnsi="Arial"/>
        </w:rPr>
        <w:t xml:space="preserve">Tier 2 — strong urgency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78"/>
        <w:gridCol w:w="3813"/>
        <w:gridCol w:w="2755"/>
      </w:tblGrid>
      <w:tr>
        <w:trPr>
          <w:tblHeader/>
        </w:trPr>
        <w:tc>
          <w:tcPr>
            <w:tcW w:type="dxa" w:w="3178"/>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Signal</w:t>
            </w:r>
          </w:p>
        </w:tc>
        <w:tc>
          <w:tcPr>
            <w:tcW w:type="dxa" w:w="381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What it means</w:t>
            </w:r>
          </w:p>
        </w:tc>
        <w:tc>
          <w:tcPr>
            <w:tcW w:type="dxa" w:w="275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Evidence</w:t>
            </w:r>
          </w:p>
        </w:tc>
      </w:tr>
      <w:tr>
        <w:trPr>
          <w:cantSplit/>
        </w:trPr>
        <w:tc>
          <w:tcPr>
            <w:tcW w:type="dxa" w:w="317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Household change (generations moving in, children growing)</w:t>
            </w:r>
          </w:p>
        </w:tc>
        <w:tc>
          <w:tcPr>
            <w:tcW w:type="dxa" w:w="381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Rooms must be re-planned, not just restyled</w:t>
            </w:r>
          </w:p>
        </w:tc>
        <w:tc>
          <w:tcPr>
            <w:tcW w:type="dxa" w:w="275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Multigenerational and kids'-room guides; testimonial</w:t>
            </w:r>
          </w:p>
        </w:tc>
      </w:tr>
      <w:tr>
        <w:trPr>
          <w:cantSplit/>
        </w:trPr>
        <w:tc>
          <w:tcPr>
            <w:tcW w:type="dxa" w:w="317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Owner relocating or managing a Dubai home from abroad</w:t>
            </w:r>
          </w:p>
        </w:tc>
        <w:tc>
          <w:tcPr>
            <w:tcW w:type="dxa" w:w="381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Needs one trusted party to run the project</w:t>
            </w:r>
          </w:p>
        </w:tc>
        <w:tc>
          <w:tcPr>
            <w:tcW w:type="dxa" w:w="275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Testimonial (Shikha)</w:t>
            </w:r>
          </w:p>
        </w:tc>
      </w:tr>
      <w:tr>
        <w:trPr>
          <w:cantSplit/>
        </w:trPr>
        <w:tc>
          <w:tcPr>
            <w:tcW w:type="dxa" w:w="317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Landscape or outdoor living project</w:t>
            </w:r>
          </w:p>
        </w:tc>
        <w:tc>
          <w:tcPr>
            <w:tcW w:type="dxa" w:w="381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Entry point that can lead to interiors</w:t>
            </w:r>
          </w:p>
        </w:tc>
        <w:tc>
          <w:tcPr>
            <w:tcW w:type="dxa" w:w="275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Mudon, Trump Estates, Yas Noya landscapes; landscape guide</w:t>
            </w:r>
          </w:p>
        </w:tc>
      </w:tr>
    </w:tbl>
    <w:p>
      <w:pPr>
        <w:spacing w:after="120"/>
      </w:pPr>
    </w:p>
    <w:p>
      <w:pPr>
        <w:pStyle w:val="Heading1"/>
        <w:pageBreakBefore/>
      </w:pPr>
      <w:r>
        <w:rPr>
          <w:rFonts w:ascii="Arial" w:cs="Arial" w:eastAsia="Arial" w:hAnsi="Arial"/>
        </w:rPr>
        <w:t xml:space="preserve">Section 2 — Persona deep-dive</w:t>
      </w:r>
    </w:p>
    <w:p>
      <w:pPr>
        <w:spacing w:after="140" w:before="0" w:line="300"/>
        <w:jc w:val="left"/>
      </w:pPr>
      <w:r>
        <w:rPr>
          <w:rFonts w:ascii="Arial" w:cs="Arial" w:eastAsia="Arial" w:hAnsi="Arial"/>
          <w:color w:val="1E1E1E"/>
          <w:sz w:val="21"/>
          <w:szCs w:val="21"/>
        </w:rPr>
        <w:t xml:space="preserve">Three archetypes are supported by evidence. The first two are proven (delivered projects + testimonials). The third is a growth segment Sooraj named, with portfolio evidence but no client testimony yet.</w:t>
      </w:r>
    </w:p>
    <w:p>
      <w:pPr>
        <w:pStyle w:val="Heading2"/>
        <w:keepNext/>
      </w:pPr>
      <w:r>
        <w:rPr>
          <w:rFonts w:ascii="Arial" w:cs="Arial" w:eastAsia="Arial" w:hAnsi="Arial"/>
        </w:rPr>
        <w:t xml:space="preserve">Persona A — The Involved Family Homeowner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7"/>
        <w:gridCol w:w="7039"/>
      </w:tblGrid>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Who</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Owner-occupier of a villa or townhouse (DAMAC Hills, Tilal Al Ghaf, Al Barari, Jumeirah Golf Estates, Nadd Al Sheba). Often a multigenerational household.</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Real examples</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Mahitha Balakrishnan (multigenerational household); Vineet Israni; Nithu Joseph — all on the consultation page.</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Core motivation</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 home that reflects the family's routines, personalities and generations — "co-created", not imposed.</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How they buy</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Sees the work first (Sooraj: enquirers "have actually seen" it), then a discovery session that asks about daily routines; values an onboarding workshop that helps them decide.</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Risk profile</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Fears a designer who does not listen, hidden costs, missed timelines.</w:t>
            </w:r>
          </w:p>
        </w:tc>
      </w:tr>
    </w:tbl>
    <w:p>
      <w:pPr>
        <w:spacing w:after="120"/>
      </w:pPr>
    </w:p>
    <w:p>
      <w:pPr>
        <w:pStyle w:val="Heading2"/>
        <w:keepNext/>
      </w:pPr>
      <w:r>
        <w:rPr>
          <w:rFonts w:ascii="Arial" w:cs="Arial" w:eastAsia="Arial" w:hAnsi="Arial"/>
        </w:rPr>
        <w:t xml:space="preserve">Persona B — The Remote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7"/>
        <w:gridCol w:w="7039"/>
      </w:tblGrid>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Who</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Owns a Dubai home but spends much of the year abroad.</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Real example</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Shikha — DAMAC Hills home, "spends most of my time in Germany".</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Core motivation</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Hand the project to someone trustworthy who will make good decisions without constant supervision.</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How they buy</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Online meetings (FAQ: online or in-person), communication with the founder, evidence of reliability.</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Risk profile</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Fears being pushed into choices, poor communication, losing control from a distance.</w:t>
            </w:r>
          </w:p>
        </w:tc>
      </w:tr>
    </w:tbl>
    <w:p>
      <w:pPr>
        <w:spacing w:after="120"/>
      </w:pPr>
    </w:p>
    <w:p>
      <w:pPr>
        <w:pStyle w:val="Heading2"/>
        <w:keepNext/>
      </w:pPr>
      <w:r>
        <w:rPr>
          <w:rFonts w:ascii="Arial" w:cs="Arial" w:eastAsia="Arial" w:hAnsi="Arial"/>
        </w:rPr>
        <w:t xml:space="preserve">Persona C — The F&amp;B Owner/Operator (growth segment)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7"/>
        <w:gridCol w:w="7039"/>
      </w:tblGrid>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Who</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Owner or founder of a café, restaurant or lounge in Dubai.</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Real examples</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Projects Savane (restaurant, 2024) and Levante (restaurant &amp; lounge, 2024). No client testimonial on file.</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Core motivation</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 venue that is an experience in itself — Moori's F&amp;B pages describe atmosphere, materiality and guest flow.</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How they buy</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Not evidenced yet — confirm with Sooraj how the two F&amp;B projects were won.</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Risk profile</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Not evidenced yet.</w:t>
            </w:r>
          </w:p>
        </w:tc>
      </w:tr>
    </w:tbl>
    <w:p>
      <w:pPr>
        <w:spacing w:after="120"/>
      </w:pPr>
    </w:p>
    <w:p>
      <w:pPr>
        <w:pStyle w:val="Heading2"/>
        <w:keepNext/>
      </w:pPr>
      <w:r>
        <w:rPr>
          <w:rFonts w:ascii="Arial" w:cs="Arial" w:eastAsia="Arial" w:hAnsi="Arial"/>
        </w:rPr>
        <w:t xml:space="preserve">2.4 What each persona judges the outcome 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65"/>
        <w:gridCol w:w="4873"/>
        <w:gridCol w:w="1108"/>
      </w:tblGrid>
      <w:tr>
        <w:trPr>
          <w:tblHeader/>
        </w:trPr>
        <w:tc>
          <w:tcPr>
            <w:tcW w:type="dxa" w:w="376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Metric the buyer is judged on (by family or business)</w:t>
            </w:r>
          </w:p>
        </w:tc>
        <w:tc>
          <w:tcPr>
            <w:tcW w:type="dxa" w:w="487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How Moori addresses it (published)</w:t>
            </w:r>
          </w:p>
        </w:tc>
        <w:tc>
          <w:tcPr>
            <w:tcW w:type="dxa" w:w="1108"/>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Persona</w:t>
            </w:r>
          </w:p>
        </w:tc>
      </w:tr>
      <w:tr>
        <w:trPr>
          <w:cantSplit/>
        </w:trPr>
        <w:tc>
          <w:tcPr>
            <w:tcW w:type="dxa" w:w="3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"Does it feel like us?" — personal fit</w:t>
            </w:r>
          </w:p>
        </w:tc>
        <w:tc>
          <w:tcPr>
            <w:tcW w:type="dxa" w:w="487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Participatory process; discovery session; designer assigned per client; no templates</w:t>
            </w:r>
          </w:p>
        </w:tc>
        <w:tc>
          <w:tcPr>
            <w:tcW w:type="dxa" w:w="110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 B</w:t>
            </w:r>
          </w:p>
        </w:tc>
      </w:tr>
      <w:tr>
        <w:trPr>
          <w:cantSplit/>
        </w:trPr>
        <w:tc>
          <w:tcPr>
            <w:tcW w:type="dxa" w:w="3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Budget held and transparent</w:t>
            </w:r>
          </w:p>
        </w:tc>
        <w:tc>
          <w:tcPr>
            <w:tcW w:type="dxa" w:w="487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 hidden costs or fine print"; published fee tiers; transparent changes policy</w:t>
            </w:r>
          </w:p>
        </w:tc>
        <w:tc>
          <w:tcPr>
            <w:tcW w:type="dxa" w:w="110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 B, C</w:t>
            </w:r>
          </w:p>
        </w:tc>
      </w:tr>
      <w:tr>
        <w:trPr>
          <w:cantSplit/>
        </w:trPr>
        <w:tc>
          <w:tcPr>
            <w:tcW w:type="dxa" w:w="37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Delivered on time</w:t>
            </w:r>
          </w:p>
        </w:tc>
        <w:tc>
          <w:tcPr>
            <w:tcW w:type="dxa" w:w="487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Concept 2–4 weeks; design development 3–5 weeks; execution 2–6 months</w:t>
            </w:r>
          </w:p>
        </w:tc>
        <w:tc>
          <w:tcPr>
            <w:tcW w:type="dxa" w:w="110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 B, C</w:t>
            </w:r>
          </w:p>
        </w:tc>
      </w:tr>
      <w:tr>
        <w:trPr>
          <w:cantSplit/>
        </w:trPr>
        <w:tc>
          <w:tcPr>
            <w:tcW w:type="dxa" w:w="37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Quality of execution</w:t>
            </w:r>
          </w:p>
        </w:tc>
        <w:tc>
          <w:tcPr>
            <w:tcW w:type="dxa" w:w="487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Turnkey and execution oversight; vetted suppliers; regular checkpoints</w:t>
            </w:r>
          </w:p>
        </w:tc>
        <w:tc>
          <w:tcPr>
            <w:tcW w:type="dxa" w:w="110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 B, C</w:t>
            </w:r>
          </w:p>
        </w:tc>
      </w:tr>
    </w:tbl>
    <w:p>
      <w:pPr>
        <w:spacing w:after="120"/>
      </w:pPr>
    </w:p>
    <w:p>
      <w:pPr>
        <w:pStyle w:val="Heading2"/>
        <w:keepNext/>
      </w:pPr>
      <w:r>
        <w:rPr>
          <w:rFonts w:ascii="Arial" w:cs="Arial" w:eastAsia="Arial" w:hAnsi="Arial"/>
        </w:rPr>
        <w:t xml:space="preserve">2.5 Internal friction at the moment of conversion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07A45" w:sz="18"/>
              <w:left w:val="single" w:color="D9D4CB" w:sz="4"/>
              <w:bottom w:val="single" w:color="D9D4CB" w:sz="4"/>
              <w:right w:val="single" w:color="D9D4CB" w:sz="4"/>
            </w:tcBorders>
            <w:shd w:fill="F4EEE4" w:color="auto" w:val="clear"/>
            <w:tcMar>
              <w:top w:type="dxa" w:w="140"/>
              <w:left w:type="dxa" w:w="200"/>
              <w:bottom w:type="dxa" w:w="140"/>
              <w:right w:type="dxa" w:w="200"/>
            </w:tcMar>
          </w:tcPr>
          <w:p>
            <w:pPr>
              <w:spacing w:after="80"/>
            </w:pPr>
            <w:r>
              <w:rPr>
                <w:rFonts w:ascii="Arial" w:cs="Arial" w:eastAsia="Arial" w:hAnsi="Arial"/>
                <w:b/>
                <w:bCs/>
                <w:color w:val="A07A45"/>
                <w:sz w:val="21"/>
                <w:szCs w:val="21"/>
              </w:rPr>
              <w:t xml:space="preserve">Friction 1 — "Will they actually listen to me?"</w:t>
            </w:r>
          </w:p>
          <w:p>
            <w:pPr>
              <w:spacing w:after="60" w:line="290"/>
            </w:pPr>
            <w:r>
              <w:rPr>
                <w:rFonts w:ascii="Arial" w:cs="Arial" w:eastAsia="Arial" w:hAnsi="Arial"/>
                <w:color w:val="1E1E1E"/>
                <w:sz w:val="20"/>
                <w:szCs w:val="20"/>
              </w:rPr>
              <w:t xml:space="preserve">The homepage opens on exactly this apprehension, and three of four testimonials praise being heard and a non-pushy approach. This is the emotional core of the sale.</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07A45" w:sz="18"/>
              <w:left w:val="single" w:color="D9D4CB" w:sz="4"/>
              <w:bottom w:val="single" w:color="D9D4CB" w:sz="4"/>
              <w:right w:val="single" w:color="D9D4CB" w:sz="4"/>
            </w:tcBorders>
            <w:shd w:fill="F4EEE4" w:color="auto" w:val="clear"/>
            <w:tcMar>
              <w:top w:type="dxa" w:w="140"/>
              <w:left w:type="dxa" w:w="200"/>
              <w:bottom w:type="dxa" w:w="140"/>
              <w:right w:type="dxa" w:w="200"/>
            </w:tcMar>
          </w:tcPr>
          <w:p>
            <w:pPr>
              <w:spacing w:after="80"/>
            </w:pPr>
            <w:r>
              <w:rPr>
                <w:rFonts w:ascii="Arial" w:cs="Arial" w:eastAsia="Arial" w:hAnsi="Arial"/>
                <w:b/>
                <w:bCs/>
                <w:color w:val="A07A45"/>
                <w:sz w:val="21"/>
                <w:szCs w:val="21"/>
              </w:rPr>
              <w:t xml:space="preserve">Friction 2 — "Why pay for design when the contractor includes it?"</w:t>
            </w:r>
          </w:p>
          <w:p>
            <w:pPr>
              <w:spacing w:after="60" w:line="290"/>
            </w:pPr>
            <w:r>
              <w:rPr>
                <w:rFonts w:ascii="Arial" w:cs="Arial" w:eastAsia="Arial" w:hAnsi="Arial"/>
                <w:color w:val="1E1E1E"/>
                <w:sz w:val="20"/>
                <w:szCs w:val="20"/>
              </w:rPr>
              <w:t xml:space="preserve">Stated by Sooraj as the main qualification problem. The buyer has a cheaper-looking alternative in hand and must justify a design fee.</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07A45" w:sz="18"/>
              <w:left w:val="single" w:color="D9D4CB" w:sz="4"/>
              <w:bottom w:val="single" w:color="D9D4CB" w:sz="4"/>
              <w:right w:val="single" w:color="D9D4CB" w:sz="4"/>
            </w:tcBorders>
            <w:shd w:fill="F4EEE4" w:color="auto" w:val="clear"/>
            <w:tcMar>
              <w:top w:type="dxa" w:w="140"/>
              <w:left w:type="dxa" w:w="200"/>
              <w:bottom w:type="dxa" w:w="140"/>
              <w:right w:type="dxa" w:w="200"/>
            </w:tcMar>
          </w:tcPr>
          <w:p>
            <w:pPr>
              <w:spacing w:after="80"/>
            </w:pPr>
            <w:r>
              <w:rPr>
                <w:rFonts w:ascii="Arial" w:cs="Arial" w:eastAsia="Arial" w:hAnsi="Arial"/>
                <w:b/>
                <w:bCs/>
                <w:color w:val="A07A45"/>
                <w:sz w:val="21"/>
                <w:szCs w:val="21"/>
              </w:rPr>
              <w:t xml:space="preserve">Friction 3 — "Can I trust this from a website?"</w:t>
            </w:r>
          </w:p>
          <w:p>
            <w:pPr>
              <w:spacing w:after="60" w:line="290"/>
            </w:pPr>
            <w:r>
              <w:rPr>
                <w:rFonts w:ascii="Arial" w:cs="Arial" w:eastAsia="Arial" w:hAnsi="Arial"/>
                <w:color w:val="1E1E1E"/>
                <w:sz w:val="20"/>
                <w:szCs w:val="20"/>
              </w:rPr>
              <w:t xml:space="preserve">Today 80–90% of clients arrive with a referral vouching for Moori. A cold visitor has no voucher, so proof must do that job on the page.</w:t>
            </w:r>
          </w:p>
        </w:tc>
      </w:tr>
    </w:tbl>
    <w:p>
      <w:pPr>
        <w:spacing w:after="160"/>
      </w:pPr>
    </w:p>
    <w:p>
      <w:pPr>
        <w:pStyle w:val="Heading1"/>
        <w:pageBreakBefore/>
      </w:pPr>
      <w:r>
        <w:rPr>
          <w:rFonts w:ascii="Arial" w:cs="Arial" w:eastAsia="Arial" w:hAnsi="Arial"/>
        </w:rPr>
        <w:t xml:space="preserve">Section 3 — Challenger messaging</w:t>
      </w:r>
    </w:p>
    <w:p>
      <w:pPr>
        <w:pStyle w:val="Heading2"/>
        <w:keepNext/>
      </w:pPr>
      <w:r>
        <w:rPr>
          <w:rFonts w:ascii="Arial" w:cs="Arial" w:eastAsia="Arial" w:hAnsi="Arial"/>
        </w:rPr>
        <w:t xml:space="preserve">3.1 Status quo vs Moori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32"/>
        <w:gridCol w:w="2490"/>
        <w:gridCol w:w="2274"/>
        <w:gridCol w:w="3250"/>
      </w:tblGrid>
      <w:tr>
        <w:trPr>
          <w:tblHeader/>
        </w:trPr>
        <w:tc>
          <w:tcPr>
            <w:tcW w:type="dxa" w:w="173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Dimension</w:t>
            </w:r>
          </w:p>
        </w:tc>
        <w:tc>
          <w:tcPr>
            <w:tcW w:type="dxa" w:w="2490"/>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Contractor-led "free design"</w:t>
            </w:r>
          </w:p>
        </w:tc>
        <w:tc>
          <w:tcPr>
            <w:tcW w:type="dxa" w:w="2274"/>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Typical design firm</w:t>
            </w:r>
          </w:p>
        </w:tc>
        <w:tc>
          <w:tcPr>
            <w:tcW w:type="dxa" w:w="3250"/>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Moori (published)</w:t>
            </w:r>
          </w:p>
        </w:tc>
      </w:tr>
      <w:tr>
        <w:trPr>
          <w:cantSplit/>
        </w:trPr>
        <w:tc>
          <w:tcPr>
            <w:tcW w:type="dxa" w:w="17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Who the design serves</w:t>
            </w:r>
          </w:p>
        </w:tc>
        <w:tc>
          <w:tcPr>
            <w:tcW w:type="dxa" w:w="24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Bundled to win the build contract</w:t>
            </w:r>
          </w:p>
        </w:tc>
        <w:tc>
          <w:tcPr>
            <w:tcW w:type="dxa" w:w="227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Often the founder's signature style</w:t>
            </w:r>
          </w:p>
        </w:tc>
        <w:tc>
          <w:tcPr>
            <w:tcW w:type="dxa" w:w="325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Collective; each client assigned a matched designer</w:t>
            </w:r>
          </w:p>
        </w:tc>
      </w:tr>
      <w:tr>
        <w:trPr>
          <w:cantSplit/>
        </w:trPr>
        <w:tc>
          <w:tcPr>
            <w:tcW w:type="dxa" w:w="173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Client involvement</w:t>
            </w:r>
          </w:p>
        </w:tc>
        <w:tc>
          <w:tcPr>
            <w:tcW w:type="dxa" w:w="24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Choose from options</w:t>
            </w:r>
          </w:p>
        </w:tc>
        <w:tc>
          <w:tcPr>
            <w:tcW w:type="dxa" w:w="227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Approve at milestones</w:t>
            </w:r>
          </w:p>
        </w:tc>
        <w:tc>
          <w:tcPr>
            <w:tcW w:type="dxa" w:w="325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Participatory: client at every key decision; onboarding workshop</w:t>
            </w:r>
          </w:p>
        </w:tc>
      </w:tr>
      <w:tr>
        <w:trPr>
          <w:cantSplit/>
        </w:trPr>
        <w:tc>
          <w:tcPr>
            <w:tcW w:type="dxa" w:w="17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Pricing clarity</w:t>
            </w:r>
          </w:p>
        </w:tc>
        <w:tc>
          <w:tcPr>
            <w:tcW w:type="dxa" w:w="249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 cost absorbed into build</w:t>
            </w:r>
          </w:p>
        </w:tc>
        <w:tc>
          <w:tcPr>
            <w:tcW w:type="dxa" w:w="227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Usually unpublished</w:t>
            </w:r>
          </w:p>
        </w:tc>
        <w:tc>
          <w:tcPr>
            <w:tcW w:type="dxa" w:w="325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Fee tiers published (AED 12–40k design; turnkey from AED 100k)</w:t>
            </w:r>
          </w:p>
        </w:tc>
      </w:tr>
      <w:tr>
        <w:trPr>
          <w:cantSplit/>
        </w:trPr>
        <w:tc>
          <w:tcPr>
            <w:tcW w:type="dxa" w:w="173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Detailing &amp; sourcing</w:t>
            </w:r>
          </w:p>
        </w:tc>
        <w:tc>
          <w:tcPr>
            <w:tcW w:type="dxa" w:w="24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Standard catalogue items common</w:t>
            </w:r>
          </w:p>
        </w:tc>
        <w:tc>
          <w:tcPr>
            <w:tcW w:type="dxa" w:w="227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Varies</w:t>
            </w:r>
          </w:p>
        </w:tc>
        <w:tc>
          <w:tcPr>
            <w:tcW w:type="dxa" w:w="325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Custom furniture, one-of-a-kind sourcing (testimonials)</w:t>
            </w:r>
          </w:p>
        </w:tc>
      </w:tr>
      <w:tr>
        <w:trPr>
          <w:cantSplit/>
        </w:trPr>
        <w:tc>
          <w:tcPr>
            <w:tcW w:type="dxa" w:w="173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Execution</w:t>
            </w:r>
          </w:p>
        </w:tc>
        <w:tc>
          <w:tcPr>
            <w:tcW w:type="dxa" w:w="2490"/>
            <w:tcBorders>
              <w:top w:val="single" w:color="D9D4CB" w:sz="4"/>
              <w:left w:val="single" w:color="D9D4CB" w:sz="4"/>
              <w:bottom w:val="single" w:color="D9D4CB" w:sz="4"/>
              <w:right w:val="single" w:color="D9D4CB" w:sz="4"/>
            </w:tcBorders>
            <w:shd w:fill="E7F6EC" w:color="auto" w:val="clear"/>
            <w:tcMar>
              <w:top w:type="dxa" w:w="80"/>
              <w:left w:type="dxa" w:w="110"/>
              <w:bottom w:type="dxa" w:w="80"/>
              <w:right w:type="dxa" w:w="110"/>
            </w:tcMar>
            <w:vAlign w:val="top"/>
          </w:tcPr>
          <w:p>
            <w:pPr>
              <w:spacing w:after="40" w:line="260"/>
            </w:pPr>
            <w:r>
              <w:rPr>
                <w:rFonts w:ascii="Arial" w:cs="Arial" w:eastAsia="Arial" w:hAnsi="Arial"/>
                <w:b/>
                <w:bCs/>
                <w:color w:val="067647"/>
                <w:sz w:val="18"/>
                <w:szCs w:val="18"/>
              </w:rPr>
              <w:t xml:space="preserve">Yes</w:t>
            </w:r>
          </w:p>
        </w:tc>
        <w:tc>
          <w:tcPr>
            <w:tcW w:type="dxa" w:w="2274"/>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Often handed to others</w:t>
            </w:r>
          </w:p>
        </w:tc>
        <w:tc>
          <w:tcPr>
            <w:tcW w:type="dxa" w:w="325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Turnkey available, or design-only with execution oversight</w:t>
            </w:r>
          </w:p>
        </w:tc>
      </w:tr>
      <w:tr>
        <w:trPr>
          <w:cantSplit/>
        </w:trPr>
        <w:tc>
          <w:tcPr>
            <w:tcW w:type="dxa" w:w="173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 proof</w:t>
            </w:r>
          </w:p>
        </w:tc>
        <w:tc>
          <w:tcPr>
            <w:tcW w:type="dxa" w:w="249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Build volume</w:t>
            </w:r>
          </w:p>
        </w:tc>
        <w:tc>
          <w:tcPr>
            <w:tcW w:type="dxa" w:w="2274"/>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Portfolio</w:t>
            </w:r>
          </w:p>
        </w:tc>
        <w:tc>
          <w:tcPr>
            <w:tcW w:type="dxa" w:w="325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AD Middle East, ISOLA finalist, Dubai Design Week, House of the Future entries</w:t>
            </w:r>
          </w:p>
        </w:tc>
      </w:tr>
    </w:tbl>
    <w:p>
      <w:pPr>
        <w:spacing w:after="120"/>
      </w:pPr>
    </w:p>
    <w:p>
      <w:pPr>
        <w:pStyle w:val="Heading2"/>
        <w:keepNext/>
      </w:pPr>
      <w:r>
        <w:rPr>
          <w:rFonts w:ascii="Arial" w:cs="Arial" w:eastAsia="Arial" w:hAnsi="Arial"/>
        </w:rPr>
        <w:t xml:space="preserve">3.2 Three challenger hooks</w:t>
      </w:r>
    </w:p>
    <w:p>
      <w:pPr>
        <w:pStyle w:val="Heading3"/>
        <w:keepNext/>
      </w:pPr>
      <w:r>
        <w:rPr>
          <w:rFonts w:ascii="Arial" w:cs="Arial" w:eastAsia="Arial" w:hAnsi="Arial"/>
        </w:rPr>
        <w:t xml:space="preserve">Hook 1 — "Free design isn't 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7"/>
        <w:gridCol w:w="7039"/>
      </w:tblGrid>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Opening line</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 contractor's free design is paid for in the build. Ours is paid for by you — so it only answers to you.</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Why it works</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Names the exact alternative Sooraj said Moori loses to and reframes it without attacking contractors (who are also a referral source).</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When to deploy</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Services and Pricing pages; search ads on "villa fit-out" / "interior design and fit out" queries; answer to "do you do free design?"</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CTA</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Compare what's included → Book a free consultation</w:t>
            </w:r>
          </w:p>
        </w:tc>
      </w:tr>
    </w:tbl>
    <w:p>
      <w:pPr>
        <w:spacing w:after="120"/>
      </w:pPr>
    </w:p>
    <w:p>
      <w:pPr>
        <w:pStyle w:val="Heading3"/>
        <w:keepNext/>
      </w:pPr>
      <w:r>
        <w:rPr>
          <w:rFonts w:ascii="Arial" w:cs="Arial" w:eastAsia="Arial" w:hAnsi="Arial"/>
        </w:rPr>
        <w:t xml:space="preserve">Hook 2 — "Designed with you, not for you"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7"/>
        <w:gridCol w:w="7039"/>
      </w:tblGrid>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Opening line</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Most homeowners worry their designer won't speak their language. Our process starts with your routines, your family and how you want to live.</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Why it works</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Mirrors Moori's own homepage insight and the strongest theme in all four testimonials.</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When to deploy</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Homepage hero, Instagram and Meta ads for family homeowners (Persona A)</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CTA</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Start with a discovery session</w:t>
            </w:r>
          </w:p>
        </w:tc>
      </w:tr>
    </w:tbl>
    <w:p>
      <w:pPr>
        <w:spacing w:after="120"/>
      </w:pPr>
    </w:p>
    <w:p>
      <w:pPr>
        <w:pStyle w:val="Heading3"/>
        <w:keepNext/>
      </w:pPr>
      <w:r>
        <w:rPr>
          <w:rFonts w:ascii="Arial" w:cs="Arial" w:eastAsia="Arial" w:hAnsi="Arial"/>
        </w:rPr>
        <w:t xml:space="preserve">Hook 3 — "Your Dubai home, run while you're away"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7"/>
        <w:gridCol w:w="7039"/>
      </w:tblGrid>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Opening line</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Living abroad? One designer, one point of contact and online reviews at every stage — from concept to handover.</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Why it works</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Directly evidenced by the DAMAC Hills testimonial from an owner based in Germany.</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When to deploy</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Remote-owner landing page; ads targeted to Dubai property owners outside the UAE (targeting to confirm)</w:t>
            </w:r>
          </w:p>
        </w:tc>
      </w:tr>
      <w:tr>
        <w:trPr>
          <w:cantSplit/>
        </w:trPr>
        <w:tc>
          <w:tcPr>
            <w:tcW w:type="dxa" w:w="2707"/>
            <w:tcBorders>
              <w:top w:val="single" w:color="D9D4CB" w:sz="4"/>
              <w:left w:val="single" w:color="D9D4CB" w:sz="4"/>
              <w:bottom w:val="single" w:color="D9D4CB" w:sz="4"/>
              <w:right w:val="single" w:color="D9D4CB" w:sz="4"/>
            </w:tcBorders>
            <w:shd w:fill="F4EEE4" w:color="auto" w:val="clear"/>
            <w:tcMar>
              <w:top w:type="dxa" w:w="80"/>
              <w:left w:type="dxa" w:w="110"/>
              <w:bottom w:type="dxa" w:w="80"/>
              <w:right w:type="dxa" w:w="110"/>
            </w:tcMar>
            <w:vAlign w:val="top"/>
          </w:tcPr>
          <w:p>
            <w:pPr>
              <w:spacing w:after="40" w:line="260"/>
            </w:pPr>
            <w:r>
              <w:rPr>
                <w:rFonts w:ascii="Arial" w:cs="Arial" w:eastAsia="Arial" w:hAnsi="Arial"/>
                <w:b/>
                <w:bCs/>
                <w:color w:val="1E1E1E"/>
                <w:sz w:val="18"/>
                <w:szCs w:val="18"/>
              </w:rPr>
              <w:t xml:space="preserve">CTA</w:t>
            </w:r>
          </w:p>
        </w:tc>
        <w:tc>
          <w:tcPr>
            <w:tcW w:type="dxa" w:w="703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Book an online consultation</w:t>
            </w:r>
          </w:p>
        </w:tc>
      </w:tr>
    </w:tbl>
    <w:p>
      <w:pPr>
        <w:spacing w:after="120"/>
      </w:pPr>
    </w:p>
    <w:p>
      <w:pPr>
        <w:pStyle w:val="Heading2"/>
        <w:keepNext/>
      </w:pPr>
      <w:r>
        <w:rPr>
          <w:rFonts w:ascii="Arial" w:cs="Arial" w:eastAsia="Arial" w:hAnsi="Arial"/>
        </w:rPr>
        <w:t xml:space="preserve">3.3 Case-study deployment guide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42"/>
        <w:gridCol w:w="3601"/>
        <w:gridCol w:w="3603"/>
      </w:tblGrid>
      <w:tr>
        <w:trPr>
          <w:tblHeader/>
        </w:trPr>
        <w:tc>
          <w:tcPr>
            <w:tcW w:type="dxa" w:w="2542"/>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Visitor situation</w:t>
            </w:r>
          </w:p>
        </w:tc>
        <w:tc>
          <w:tcPr>
            <w:tcW w:type="dxa" w:w="3601"/>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Lead with</w:t>
            </w:r>
          </w:p>
        </w:tc>
        <w:tc>
          <w:tcPr>
            <w:tcW w:type="dxa" w:w="360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Supporting proof</w:t>
            </w:r>
          </w:p>
        </w:tc>
      </w:tr>
      <w:tr>
        <w:trPr>
          <w:cantSplit/>
        </w:trPr>
        <w:tc>
          <w:tcPr>
            <w:tcW w:type="dxa" w:w="254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Villa in DAMAC Hills</w:t>
            </w:r>
          </w:p>
        </w:tc>
        <w:tc>
          <w:tcPr>
            <w:tcW w:type="dxa" w:w="360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Private Villa, Whitefield, DAMAC Hills (2025)</w:t>
            </w:r>
          </w:p>
        </w:tc>
        <w:tc>
          <w:tcPr>
            <w:tcW w:type="dxa" w:w="360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Shikha testimonial (DAMAC Hills); Trump Estates landscape</w:t>
            </w:r>
          </w:p>
        </w:tc>
      </w:tr>
      <w:tr>
        <w:trPr>
          <w:cantSplit/>
        </w:trPr>
        <w:tc>
          <w:tcPr>
            <w:tcW w:type="dxa" w:w="254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Villa/townhouse in Tilal Al Ghaf</w:t>
            </w:r>
          </w:p>
        </w:tc>
        <w:tc>
          <w:tcPr>
            <w:tcW w:type="dxa" w:w="360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Tilal Al Ghaf villa and townhouse (2025)</w:t>
            </w:r>
          </w:p>
        </w:tc>
        <w:tc>
          <w:tcPr>
            <w:tcW w:type="dxa" w:w="360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Named design team on the project page</w:t>
            </w:r>
          </w:p>
        </w:tc>
      </w:tr>
      <w:tr>
        <w:trPr>
          <w:cantSplit/>
        </w:trPr>
        <w:tc>
          <w:tcPr>
            <w:tcW w:type="dxa" w:w="254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Larger classic-leaning villa</w:t>
            </w:r>
          </w:p>
        </w:tc>
        <w:tc>
          <w:tcPr>
            <w:tcW w:type="dxa" w:w="360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Desert Leaf, Al Barari (2024); Jumeirah Golf Estates (2024)</w:t>
            </w:r>
          </w:p>
        </w:tc>
        <w:tc>
          <w:tcPr>
            <w:tcW w:type="dxa" w:w="360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AD Middle East feature</w:t>
            </w:r>
          </w:p>
        </w:tc>
      </w:tr>
      <w:tr>
        <w:trPr>
          <w:cantSplit/>
        </w:trPr>
        <w:tc>
          <w:tcPr>
            <w:tcW w:type="dxa" w:w="254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Apartment, Dubai Marina</w:t>
            </w:r>
          </w:p>
        </w:tc>
        <w:tc>
          <w:tcPr>
            <w:tcW w:type="dxa" w:w="360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Botanica Tower (2025); Al Seef Tower (2024)</w:t>
            </w:r>
          </w:p>
        </w:tc>
        <w:tc>
          <w:tcPr>
            <w:tcW w:type="dxa" w:w="360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Botanica penthouse walk-through reels on Instagram (1,851 and 2,488 plays)</w:t>
            </w:r>
          </w:p>
        </w:tc>
      </w:tr>
      <w:tr>
        <w:trPr>
          <w:cantSplit/>
        </w:trPr>
        <w:tc>
          <w:tcPr>
            <w:tcW w:type="dxa" w:w="254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Multigenerational family</w:t>
            </w:r>
          </w:p>
        </w:tc>
        <w:tc>
          <w:tcPr>
            <w:tcW w:type="dxa" w:w="360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Any family villa + multigenerational guide</w:t>
            </w:r>
          </w:p>
        </w:tc>
        <w:tc>
          <w:tcPr>
            <w:tcW w:type="dxa" w:w="360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Mahitha Balakrishnan testimonial</w:t>
            </w:r>
          </w:p>
        </w:tc>
      </w:tr>
      <w:tr>
        <w:trPr>
          <w:cantSplit/>
        </w:trPr>
        <w:tc>
          <w:tcPr>
            <w:tcW w:type="dxa" w:w="254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Owner abroad</w:t>
            </w:r>
          </w:p>
        </w:tc>
        <w:tc>
          <w:tcPr>
            <w:tcW w:type="dxa" w:w="360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DAMAC Hills villa</w:t>
            </w:r>
          </w:p>
        </w:tc>
        <w:tc>
          <w:tcPr>
            <w:tcW w:type="dxa" w:w="360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Shikha testimonial; online consultations</w:t>
            </w:r>
          </w:p>
        </w:tc>
      </w:tr>
      <w:tr>
        <w:trPr>
          <w:cantSplit/>
        </w:trPr>
        <w:tc>
          <w:tcPr>
            <w:tcW w:type="dxa" w:w="2542"/>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F&amp;B operator</w:t>
            </w:r>
          </w:p>
        </w:tc>
        <w:tc>
          <w:tcPr>
            <w:tcW w:type="dxa" w:w="3601"/>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Savane; Levante</w:t>
            </w:r>
          </w:p>
        </w:tc>
        <w:tc>
          <w:tcPr>
            <w:tcW w:type="dxa" w:w="360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Orvi showroom (commercial)</w:t>
            </w:r>
          </w:p>
        </w:tc>
      </w:tr>
      <w:tr>
        <w:trPr>
          <w:cantSplit/>
        </w:trPr>
        <w:tc>
          <w:tcPr>
            <w:tcW w:type="dxa" w:w="2542"/>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Landscape / outdoor</w:t>
            </w:r>
          </w:p>
        </w:tc>
        <w:tc>
          <w:tcPr>
            <w:tcW w:type="dxa" w:w="3601"/>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Trump Estates; Yas Noya; Mudon (Instagram)</w:t>
            </w:r>
          </w:p>
        </w:tc>
        <w:tc>
          <w:tcPr>
            <w:tcW w:type="dxa" w:w="360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Landscape design guide</w:t>
            </w:r>
          </w:p>
        </w:tc>
      </w:tr>
    </w:tbl>
    <w:p>
      <w:pPr>
        <w:spacing w:after="120"/>
      </w:pPr>
    </w:p>
    <w:p>
      <w:pPr>
        <w:pStyle w:val="Heading1"/>
        <w:pageBreakBefore/>
      </w:pPr>
      <w:r>
        <w:rPr>
          <w:rFonts w:ascii="Arial" w:cs="Arial" w:eastAsia="Arial" w:hAnsi="Arial"/>
        </w:rPr>
        <w:t xml:space="preserve">Section 4 — Negative ICP</w:t>
      </w:r>
    </w:p>
    <w:p>
      <w:pPr>
        <w:pStyle w:val="Heading2"/>
        <w:keepNext/>
      </w:pPr>
      <w:r>
        <w:rPr>
          <w:rFonts w:ascii="Arial" w:cs="Arial" w:eastAsia="Arial" w:hAnsi="Arial"/>
        </w:rPr>
        <w:t xml:space="preserve">4.1 Hard no (visible before a call)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7"/>
        <w:gridCol w:w="4430"/>
        <w:gridCol w:w="2659"/>
      </w:tblGrid>
      <w:tr>
        <w:trPr>
          <w:tblHeader/>
        </w:trPr>
        <w:tc>
          <w:tcPr>
            <w:tcW w:type="dxa" w:w="2657"/>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Exclusion</w:t>
            </w:r>
          </w:p>
        </w:tc>
        <w:tc>
          <w:tcPr>
            <w:tcW w:type="dxa" w:w="4430"/>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How to see it before the call</w:t>
            </w:r>
          </w:p>
        </w:tc>
        <w:tc>
          <w:tcPr>
            <w:tcW w:type="dxa" w:w="2659"/>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Evidence</w:t>
            </w:r>
          </w:p>
        </w:tc>
      </w:tr>
      <w:tr>
        <w:trPr>
          <w:cantSplit/>
        </w:trPr>
        <w:tc>
          <w:tcPr>
            <w:tcW w:type="dxa" w:w="265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Office fit-out</w:t>
            </w:r>
          </w:p>
        </w:tc>
        <w:tc>
          <w:tcPr>
            <w:tcW w:type="dxa" w:w="443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Form: project type = office</w:t>
            </w:r>
          </w:p>
        </w:tc>
        <w:tc>
          <w:tcPr>
            <w:tcW w:type="dxa" w:w="265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Stated: not a target</w:t>
            </w:r>
          </w:p>
        </w:tc>
      </w:tr>
      <w:tr>
        <w:trPr>
          <w:cantSplit/>
        </w:trPr>
        <w:tc>
          <w:tcPr>
            <w:tcW w:type="dxa" w:w="2657"/>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Wants a contractor/build only, not a designer</w:t>
            </w:r>
          </w:p>
        </w:tc>
        <w:tc>
          <w:tcPr>
            <w:tcW w:type="dxa" w:w="443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Form: "What are you looking for?" = build only</w:t>
            </w:r>
          </w:p>
        </w:tc>
        <w:tc>
          <w:tcPr>
            <w:tcW w:type="dxa" w:w="2659"/>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Stated qualification issue</w:t>
            </w:r>
          </w:p>
        </w:tc>
      </w:tr>
      <w:tr>
        <w:trPr>
          <w:cantSplit/>
        </w:trPr>
        <w:tc>
          <w:tcPr>
            <w:tcW w:type="dxa" w:w="2657"/>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Budget below the design floor</w:t>
            </w:r>
          </w:p>
        </w:tc>
        <w:tc>
          <w:tcPr>
            <w:tcW w:type="dxa" w:w="443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Form: budget band below the threshold Sooraj sets (default: below AED 12,000 design / AED 100,000 turnkey)</w:t>
            </w:r>
          </w:p>
        </w:tc>
        <w:tc>
          <w:tcPr>
            <w:tcW w:type="dxa" w:w="2659"/>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Pricing table; AOV pending</w:t>
            </w:r>
          </w:p>
        </w:tc>
      </w:tr>
    </w:tbl>
    <w:p>
      <w:pPr>
        <w:spacing w:after="120"/>
      </w:pPr>
    </w:p>
    <w:p>
      <w:pPr>
        <w:pStyle w:val="Heading2"/>
        <w:keepNext/>
      </w:pPr>
      <w:r>
        <w:rPr>
          <w:rFonts w:ascii="Arial" w:cs="Arial" w:eastAsia="Arial" w:hAnsi="Arial"/>
        </w:rPr>
        <w:t xml:space="preserve">4.2 Red-flag behaviours (outreach or first call)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5316"/>
      </w:tblGrid>
      <w:tr>
        <w:trPr>
          <w:tblHeader/>
        </w:trPr>
        <w:tc>
          <w:tcPr>
            <w:tcW w:type="dxa" w:w="4430"/>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Signal</w:t>
            </w:r>
          </w:p>
        </w:tc>
        <w:tc>
          <w:tcPr>
            <w:tcW w:type="dxa" w:w="5316"/>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Why it matters</w:t>
            </w:r>
          </w:p>
        </w:tc>
      </w:tr>
      <w:tr>
        <w:trPr>
          <w:cantSplit/>
        </w:trPr>
        <w:tc>
          <w:tcPr>
            <w:tcW w:type="dxa" w:w="443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Asks first whether design is free or can be included in the build price</w:t>
            </w:r>
          </w:p>
        </w:tc>
        <w:tc>
          <w:tcPr>
            <w:tcW w:type="dxa" w:w="531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Indicates a contractor-only buyer (stated qualification problem)</w:t>
            </w:r>
          </w:p>
        </w:tc>
      </w:tr>
      <w:tr>
        <w:trPr>
          <w:cantSplit/>
        </w:trPr>
        <w:tc>
          <w:tcPr>
            <w:tcW w:type="dxa" w:w="4430"/>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Asks for a design to be produced before any engagement</w:t>
            </w:r>
          </w:p>
        </w:tc>
        <w:tc>
          <w:tcPr>
            <w:tcW w:type="dxa" w:w="531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Moori invests in a design direction before contract by choice (FAQ); unbounded free design requests are a cost risk — confirm Moori's limit</w:t>
            </w:r>
          </w:p>
        </w:tc>
      </w:tr>
      <w:tr>
        <w:trPr>
          <w:cantSplit/>
        </w:trPr>
        <w:tc>
          <w:tcPr>
            <w:tcW w:type="dxa" w:w="4430"/>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Cannot say whether they own the property or have approval to renovate</w:t>
            </w:r>
          </w:p>
        </w:tc>
        <w:tc>
          <w:tcPr>
            <w:tcW w:type="dxa" w:w="531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Not evidenced on the call — confirm with Sooraj whether this is a real pattern before using</w:t>
            </w:r>
          </w:p>
        </w:tc>
      </w:tr>
    </w:tbl>
    <w:p>
      <w:pPr>
        <w:spacing w:after="120"/>
      </w:pPr>
    </w:p>
    <w:p>
      <w:pPr>
        <w:pStyle w:val="Heading2"/>
        <w:keepNext/>
      </w:pPr>
      <w:r>
        <w:rPr>
          <w:rFonts w:ascii="Arial" w:cs="Arial" w:eastAsia="Arial" w:hAnsi="Arial"/>
        </w:rPr>
        <w:t xml:space="preserve">4.3 Objection handling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2815"/>
        <w:gridCol w:w="4333"/>
      </w:tblGrid>
      <w:tr>
        <w:trPr>
          <w:tblHeader/>
        </w:trPr>
        <w:tc>
          <w:tcPr>
            <w:tcW w:type="dxa" w:w="2598"/>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Objection</w:t>
            </w:r>
          </w:p>
        </w:tc>
        <w:tc>
          <w:tcPr>
            <w:tcW w:type="dxa" w:w="281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Root cause</w:t>
            </w:r>
          </w:p>
        </w:tc>
        <w:tc>
          <w:tcPr>
            <w:tcW w:type="dxa" w:w="4333"/>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Counter (from Moori's own material)</w:t>
            </w:r>
          </w:p>
        </w:tc>
      </w:tr>
      <w:tr>
        <w:trPr>
          <w:cantSplit/>
        </w:trPr>
        <w:tc>
          <w:tcPr>
            <w:tcW w:type="dxa" w:w="259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"The contractor will design it for free."</w:t>
            </w:r>
          </w:p>
        </w:tc>
        <w:tc>
          <w:tcPr>
            <w:tcW w:type="dxa" w:w="281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Design cost is hidden inside the build; the buyer cannot see the trade-off</w:t>
            </w:r>
          </w:p>
        </w:tc>
        <w:tc>
          <w:tcPr>
            <w:tcW w:type="dxa" w:w="43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Hook 1; show what Moori's fee includes (concepts, technical drawings, material selection, supervision); offer design-only so they can still use their contractor</w:t>
            </w:r>
          </w:p>
        </w:tc>
      </w:tr>
      <w:tr>
        <w:trPr>
          <w:cantSplit/>
        </w:trPr>
        <w:tc>
          <w:tcPr>
            <w:tcW w:type="dxa" w:w="2598"/>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"What if I change my mind mid-project?"</w:t>
            </w:r>
          </w:p>
        </w:tc>
        <w:tc>
          <w:tcPr>
            <w:tcW w:type="dxa" w:w="281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Fear of losing control of cost and time</w:t>
            </w:r>
          </w:p>
        </w:tc>
        <w:tc>
          <w:tcPr>
            <w:tcW w:type="dxa" w:w="4333"/>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Published: flexible workflow, revisions handled with full transparency on timelines and costs</w:t>
            </w:r>
          </w:p>
        </w:tc>
      </w:tr>
      <w:tr>
        <w:trPr>
          <w:cantSplit/>
        </w:trPr>
        <w:tc>
          <w:tcPr>
            <w:tcW w:type="dxa" w:w="2598"/>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"How do I know the quality will hold?"</w:t>
            </w:r>
          </w:p>
        </w:tc>
        <w:tc>
          <w:tcPr>
            <w:tcW w:type="dxa" w:w="281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Cannot inspect execution from images</w:t>
            </w:r>
          </w:p>
        </w:tc>
        <w:tc>
          <w:tcPr>
            <w:tcW w:type="dxa" w:w="4333"/>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Regular checkpoints, close supervision, vetted suppliers; show completed-site photos and a client quote per project</w:t>
            </w:r>
          </w:p>
        </w:tc>
      </w:tr>
    </w:tbl>
    <w:p>
      <w:pPr>
        <w:spacing w:after="120"/>
      </w:pPr>
    </w:p>
    <w:p>
      <w:pPr>
        <w:pStyle w:val="Heading1"/>
        <w:pageBreakBefore/>
      </w:pPr>
      <w:r>
        <w:rPr>
          <w:rFonts w:ascii="Arial" w:cs="Arial" w:eastAsia="Arial" w:hAnsi="Arial"/>
        </w:rPr>
        <w:t xml:space="preserve">Appendix — Quick reference card</w:t>
      </w:r>
    </w:p>
    <w:p>
      <w:pPr>
        <w:pStyle w:val="Heading2"/>
        <w:keepNext/>
      </w:pPr>
      <w:r>
        <w:rPr>
          <w:rFonts w:ascii="Arial" w:cs="Arial" w:eastAsia="Arial" w:hAnsi="Arial"/>
        </w:rPr>
        <w:t xml:space="preserve">Qualification checklist (all must be yes)</w:t>
      </w:r>
    </w:p>
    <w:p>
      <w:pPr>
        <w:pStyle w:val="ListParagraph"/>
        <w:numPr>
          <w:ilvl w:val="0"/>
          <w:numId w:val="2"/>
        </w:numPr>
        <w:spacing w:after="80" w:line="290"/>
      </w:pPr>
      <w:r>
        <w:rPr>
          <w:rFonts w:ascii="Arial" w:cs="Arial" w:eastAsia="Arial" w:hAnsi="Arial"/>
          <w:color w:val="1E1E1E"/>
          <w:sz w:val="21"/>
          <w:szCs w:val="21"/>
        </w:rPr>
        <w:t xml:space="preserve">Residential home (villa, townhouse, apartment) or F&amp;B venue — not an office.</w:t>
      </w:r>
    </w:p>
    <w:p>
      <w:pPr>
        <w:pStyle w:val="ListParagraph"/>
        <w:numPr>
          <w:ilvl w:val="0"/>
          <w:numId w:val="2"/>
        </w:numPr>
        <w:spacing w:after="80" w:line="290"/>
      </w:pPr>
      <w:r>
        <w:rPr>
          <w:rFonts w:ascii="Arial" w:cs="Arial" w:eastAsia="Arial" w:hAnsi="Arial"/>
          <w:color w:val="1E1E1E"/>
          <w:sz w:val="21"/>
          <w:szCs w:val="21"/>
        </w:rPr>
        <w:t xml:space="preserve">Looking for a designer (design only or design + execution) — not only a builder.</w:t>
      </w:r>
    </w:p>
    <w:p>
      <w:pPr>
        <w:pStyle w:val="ListParagraph"/>
        <w:numPr>
          <w:ilvl w:val="0"/>
          <w:numId w:val="2"/>
        </w:numPr>
        <w:spacing w:after="80" w:line="290"/>
      </w:pPr>
      <w:r>
        <w:rPr>
          <w:rFonts w:ascii="Arial" w:cs="Arial" w:eastAsia="Arial" w:hAnsi="Arial"/>
          <w:color w:val="1E1E1E"/>
          <w:sz w:val="21"/>
          <w:szCs w:val="21"/>
        </w:rPr>
        <w:t xml:space="preserve">Budget at or above the floor Sooraj confirms (default: design AED 12,000+; turnkey AED 100,000+).</w:t>
      </w:r>
    </w:p>
    <w:p>
      <w:pPr>
        <w:pStyle w:val="ListParagraph"/>
        <w:numPr>
          <w:ilvl w:val="0"/>
          <w:numId w:val="2"/>
        </w:numPr>
        <w:spacing w:after="80" w:line="290"/>
      </w:pPr>
      <w:r>
        <w:rPr>
          <w:rFonts w:ascii="Arial" w:cs="Arial" w:eastAsia="Arial" w:hAnsi="Arial"/>
          <w:color w:val="1E1E1E"/>
          <w:sz w:val="21"/>
          <w:szCs w:val="21"/>
        </w:rPr>
        <w:t xml:space="preserve">Property in the UAE, ideally a Dubai community on the portfolio list.</w:t>
      </w:r>
    </w:p>
    <w:p>
      <w:pPr>
        <w:pStyle w:val="ListParagraph"/>
        <w:numPr>
          <w:ilvl w:val="0"/>
          <w:numId w:val="2"/>
        </w:numPr>
        <w:spacing w:after="80" w:line="290"/>
      </w:pPr>
      <w:r>
        <w:rPr>
          <w:rFonts w:ascii="Arial" w:cs="Arial" w:eastAsia="Arial" w:hAnsi="Arial"/>
          <w:color w:val="1E1E1E"/>
          <w:sz w:val="21"/>
          <w:szCs w:val="21"/>
        </w:rPr>
        <w:t xml:space="preserve">Willing to be involved in key decisions, in person or online.</w:t>
      </w:r>
    </w:p>
    <w:p>
      <w:pPr>
        <w:pStyle w:val="Heading2"/>
        <w:keepNext/>
      </w:pPr>
      <w:r>
        <w:rPr>
          <w:rFonts w:ascii="Arial" w:cs="Arial" w:eastAsia="Arial" w:hAnsi="Arial"/>
        </w:rPr>
        <w:t xml:space="preserve">Instant disqualifiers</w:t>
      </w:r>
    </w:p>
    <w:p>
      <w:pPr>
        <w:pStyle w:val="ListParagraph"/>
        <w:numPr>
          <w:ilvl w:val="0"/>
          <w:numId w:val="3"/>
        </w:numPr>
        <w:spacing w:after="80" w:line="290"/>
      </w:pPr>
      <w:r>
        <w:rPr>
          <w:rFonts w:ascii="Arial" w:cs="Arial" w:eastAsia="Arial" w:hAnsi="Arial"/>
          <w:color w:val="1E1E1E"/>
          <w:sz w:val="21"/>
          <w:szCs w:val="21"/>
        </w:rPr>
        <w:t xml:space="preserve">Office fit-out.</w:t>
      </w:r>
    </w:p>
    <w:p>
      <w:pPr>
        <w:pStyle w:val="ListParagraph"/>
        <w:numPr>
          <w:ilvl w:val="0"/>
          <w:numId w:val="3"/>
        </w:numPr>
        <w:spacing w:after="80" w:line="290"/>
      </w:pPr>
      <w:r>
        <w:rPr>
          <w:rFonts w:ascii="Arial" w:cs="Arial" w:eastAsia="Arial" w:hAnsi="Arial"/>
          <w:color w:val="1E1E1E"/>
          <w:sz w:val="21"/>
          <w:szCs w:val="21"/>
        </w:rPr>
        <w:t xml:space="preserve">Build-only request with no interest in design.</w:t>
      </w:r>
    </w:p>
    <w:p>
      <w:pPr>
        <w:pStyle w:val="ListParagraph"/>
        <w:numPr>
          <w:ilvl w:val="0"/>
          <w:numId w:val="3"/>
        </w:numPr>
        <w:spacing w:after="80" w:line="290"/>
      </w:pPr>
      <w:r>
        <w:rPr>
          <w:rFonts w:ascii="Arial" w:cs="Arial" w:eastAsia="Arial" w:hAnsi="Arial"/>
          <w:color w:val="1E1E1E"/>
          <w:sz w:val="21"/>
          <w:szCs w:val="21"/>
        </w:rPr>
        <w:t xml:space="preserve">Budget below the confirmed floor.</w:t>
      </w:r>
    </w:p>
    <w:p>
      <w:pPr>
        <w:pStyle w:val="Heading2"/>
        <w:keepNext/>
      </w:pPr>
      <w:r>
        <w:rPr>
          <w:rFonts w:ascii="Arial" w:cs="Arial" w:eastAsia="Arial" w:hAnsi="Arial"/>
        </w:rPr>
        <w:t xml:space="preserve">Signal → hook → proof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65"/>
        <w:gridCol w:w="2815"/>
        <w:gridCol w:w="3466"/>
      </w:tblGrid>
      <w:tr>
        <w:trPr>
          <w:tblHeader/>
        </w:trPr>
        <w:tc>
          <w:tcPr>
            <w:tcW w:type="dxa" w:w="346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If the enquiry shows…</w:t>
            </w:r>
          </w:p>
        </w:tc>
        <w:tc>
          <w:tcPr>
            <w:tcW w:type="dxa" w:w="2815"/>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Use hook</w:t>
            </w:r>
          </w:p>
        </w:tc>
        <w:tc>
          <w:tcPr>
            <w:tcW w:type="dxa" w:w="3466"/>
            <w:tcBorders>
              <w:top w:val="single" w:color="D9D4CB" w:sz="4"/>
              <w:left w:val="single" w:color="D9D4CB" w:sz="4"/>
              <w:bottom w:val="single" w:color="D9D4CB" w:sz="4"/>
              <w:right w:val="single" w:color="D9D4CB" w:sz="4"/>
            </w:tcBorders>
            <w:shd w:fill="1F2A44" w:color="auto" w:val="clear"/>
            <w:tcMar>
              <w:top w:type="dxa" w:w="80"/>
              <w:left w:type="dxa" w:w="110"/>
              <w:bottom w:type="dxa" w:w="80"/>
              <w:right w:type="dxa" w:w="110"/>
            </w:tcMar>
            <w:vAlign w:val="top"/>
          </w:tcPr>
          <w:p>
            <w:pPr>
              <w:spacing w:after="40" w:line="260"/>
            </w:pPr>
            <w:r>
              <w:rPr>
                <w:rFonts w:ascii="Arial" w:cs="Arial" w:eastAsia="Arial" w:hAnsi="Arial"/>
                <w:b/>
                <w:bCs/>
                <w:color w:val="FFFFFF"/>
                <w:sz w:val="18"/>
                <w:szCs w:val="18"/>
              </w:rPr>
              <w:t xml:space="preserve">Send this project</w:t>
            </w:r>
          </w:p>
        </w:tc>
      </w:tr>
      <w:tr>
        <w:trPr>
          <w:cantSplit/>
        </w:trPr>
        <w:tc>
          <w:tcPr>
            <w:tcW w:type="dxa" w:w="34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Comparing with a contractor quote</w:t>
            </w:r>
          </w:p>
        </w:tc>
        <w:tc>
          <w:tcPr>
            <w:tcW w:type="dxa" w:w="281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1 — Free design isn't free</w:t>
            </w:r>
          </w:p>
        </w:tc>
        <w:tc>
          <w:tcPr>
            <w:tcW w:type="dxa" w:w="34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DAMAC Hills villa + fee breakdown</w:t>
            </w:r>
          </w:p>
        </w:tc>
      </w:tr>
      <w:tr>
        <w:trPr>
          <w:cantSplit/>
        </w:trPr>
        <w:tc>
          <w:tcPr>
            <w:tcW w:type="dxa" w:w="34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New handover / family home</w:t>
            </w:r>
          </w:p>
        </w:tc>
        <w:tc>
          <w:tcPr>
            <w:tcW w:type="dxa" w:w="281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 — Designed with you</w:t>
            </w:r>
          </w:p>
        </w:tc>
        <w:tc>
          <w:tcPr>
            <w:tcW w:type="dxa" w:w="34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Tilal Al Ghaf villa or townhouse</w:t>
            </w:r>
          </w:p>
        </w:tc>
      </w:tr>
      <w:tr>
        <w:trPr>
          <w:cantSplit/>
        </w:trPr>
        <w:tc>
          <w:tcPr>
            <w:tcW w:type="dxa" w:w="34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Multigenerational household</w:t>
            </w:r>
          </w:p>
        </w:tc>
        <w:tc>
          <w:tcPr>
            <w:tcW w:type="dxa" w:w="281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 — Designed with you</w:t>
            </w:r>
          </w:p>
        </w:tc>
        <w:tc>
          <w:tcPr>
            <w:tcW w:type="dxa" w:w="34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Family villa + Mahitha testimonial</w:t>
            </w:r>
          </w:p>
        </w:tc>
      </w:tr>
      <w:tr>
        <w:trPr>
          <w:cantSplit/>
        </w:trPr>
        <w:tc>
          <w:tcPr>
            <w:tcW w:type="dxa" w:w="346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Owner abroad</w:t>
            </w:r>
          </w:p>
        </w:tc>
        <w:tc>
          <w:tcPr>
            <w:tcW w:type="dxa" w:w="2815"/>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3 — Run while you're away</w:t>
            </w:r>
          </w:p>
        </w:tc>
        <w:tc>
          <w:tcPr>
            <w:tcW w:type="dxa" w:w="3466"/>
            <w:tcBorders>
              <w:top w:val="single" w:color="D9D4CB" w:sz="4"/>
              <w:left w:val="single" w:color="D9D4CB" w:sz="4"/>
              <w:bottom w:val="single" w:color="D9D4CB" w:sz="4"/>
              <w:right w:val="single" w:color="D9D4CB" w:sz="4"/>
            </w:tcBorders>
            <w:shd w:fill="F7F5F1"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DAMAC Hills villa + Shikha testimonial</w:t>
            </w:r>
          </w:p>
        </w:tc>
      </w:tr>
      <w:tr>
        <w:trPr>
          <w:cantSplit/>
        </w:trPr>
        <w:tc>
          <w:tcPr>
            <w:tcW w:type="dxa" w:w="346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Café / restaurant</w:t>
            </w:r>
          </w:p>
        </w:tc>
        <w:tc>
          <w:tcPr>
            <w:tcW w:type="dxa" w:w="2815"/>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2 (adapted to guests)</w:t>
            </w:r>
          </w:p>
        </w:tc>
        <w:tc>
          <w:tcPr>
            <w:tcW w:type="dxa" w:w="3466"/>
            <w:tcBorders>
              <w:top w:val="single" w:color="D9D4CB" w:sz="4"/>
              <w:left w:val="single" w:color="D9D4CB" w:sz="4"/>
              <w:bottom w:val="single" w:color="D9D4CB" w:sz="4"/>
              <w:right w:val="single" w:color="D9D4CB" w:sz="4"/>
            </w:tcBorders>
            <w:shd w:fill="FFFFFF" w:color="auto" w:val="clear"/>
            <w:tcMar>
              <w:top w:type="dxa" w:w="80"/>
              <w:left w:type="dxa" w:w="110"/>
              <w:bottom w:type="dxa" w:w="80"/>
              <w:right w:type="dxa" w:w="110"/>
            </w:tcMar>
            <w:vAlign w:val="top"/>
          </w:tcPr>
          <w:p>
            <w:pPr>
              <w:spacing w:after="40" w:line="260"/>
            </w:pPr>
            <w:r>
              <w:rPr>
                <w:rFonts w:ascii="Arial" w:cs="Arial" w:eastAsia="Arial" w:hAnsi="Arial"/>
                <w:b w:val="false"/>
                <w:bCs w:val="false"/>
                <w:color w:val="1E1E1E"/>
                <w:sz w:val="18"/>
                <w:szCs w:val="18"/>
              </w:rPr>
              <w:t xml:space="preserve">Savane / Levante</w:t>
            </w:r>
          </w:p>
        </w:tc>
      </w:tr>
    </w:tbl>
    <w:p>
      <w:pPr>
        <w:spacing w:after="120"/>
      </w:pPr>
    </w:p>
    <w:p>
      <w:pPr>
        <w:pStyle w:val="Heading2"/>
        <w:keepNext/>
      </w:pPr>
      <w:r>
        <w:rPr>
          <w:rFonts w:ascii="Arial" w:cs="Arial" w:eastAsia="Arial" w:hAnsi="Arial"/>
        </w:rPr>
        <w:t xml:space="preserve">Open items to confirm on 28/29 October</w:t>
      </w:r>
    </w:p>
    <w:p>
      <w:pPr>
        <w:pStyle w:val="ListParagraph"/>
        <w:numPr>
          <w:ilvl w:val="0"/>
          <w:numId w:val="3"/>
        </w:numPr>
        <w:spacing w:after="80" w:line="290"/>
      </w:pPr>
      <w:r>
        <w:rPr>
          <w:rFonts w:ascii="Arial" w:cs="Arial" w:eastAsia="Arial" w:hAnsi="Arial"/>
          <w:color w:val="1E1E1E"/>
          <w:sz w:val="21"/>
          <w:szCs w:val="21"/>
        </w:rPr>
        <w:t xml:space="preserve">Minimum project value that counts as qualified (design-only and turnkey).</w:t>
      </w:r>
    </w:p>
    <w:p>
      <w:pPr>
        <w:pStyle w:val="ListParagraph"/>
        <w:numPr>
          <w:ilvl w:val="0"/>
          <w:numId w:val="3"/>
        </w:numPr>
        <w:spacing w:after="80" w:line="290"/>
      </w:pPr>
      <w:r>
        <w:rPr>
          <w:rFonts w:ascii="Arial" w:cs="Arial" w:eastAsia="Arial" w:hAnsi="Arial"/>
          <w:color w:val="1E1E1E"/>
          <w:sz w:val="21"/>
          <w:szCs w:val="21"/>
        </w:rPr>
        <w:t xml:space="preserve">Bedroom/size baseline — 2–5 bed (pricing page) vs 4–5 BHK (proposed on call).</w:t>
      </w:r>
    </w:p>
    <w:p>
      <w:pPr>
        <w:pStyle w:val="ListParagraph"/>
        <w:numPr>
          <w:ilvl w:val="0"/>
          <w:numId w:val="3"/>
        </w:numPr>
        <w:spacing w:after="80" w:line="290"/>
      </w:pPr>
      <w:r>
        <w:rPr>
          <w:rFonts w:ascii="Arial" w:cs="Arial" w:eastAsia="Arial" w:hAnsi="Arial"/>
          <w:color w:val="1E1E1E"/>
          <w:sz w:val="21"/>
          <w:szCs w:val="21"/>
        </w:rPr>
        <w:t xml:space="preserve">Bad-fit client patterns (input Q2) and the real "why now" triggers (Q8).</w:t>
      </w:r>
    </w:p>
    <w:p>
      <w:pPr>
        <w:pStyle w:val="ListParagraph"/>
        <w:numPr>
          <w:ilvl w:val="0"/>
          <w:numId w:val="3"/>
        </w:numPr>
        <w:spacing w:after="80" w:line="290"/>
      </w:pPr>
      <w:r>
        <w:rPr>
          <w:rFonts w:ascii="Arial" w:cs="Arial" w:eastAsia="Arial" w:hAnsi="Arial"/>
          <w:color w:val="1E1E1E"/>
          <w:sz w:val="21"/>
          <w:szCs w:val="21"/>
        </w:rPr>
        <w:t xml:space="preserve">How the F&amp;B projects were won and who decided.</w:t>
      </w:r>
    </w:p>
    <w:p>
      <w:pPr>
        <w:pStyle w:val="ListParagraph"/>
        <w:numPr>
          <w:ilvl w:val="0"/>
          <w:numId w:val="3"/>
        </w:numPr>
        <w:spacing w:after="80" w:line="290"/>
      </w:pPr>
      <w:r>
        <w:rPr>
          <w:rFonts w:ascii="Arial" w:cs="Arial" w:eastAsia="Arial" w:hAnsi="Arial"/>
          <w:color w:val="1E1E1E"/>
          <w:sz w:val="21"/>
          <w:szCs w:val="21"/>
        </w:rPr>
        <w:t xml:space="preserve">Priority communities and whether non-Dubai emirates should be targeted.</w:t>
      </w:r>
    </w:p>
    <w:sectPr>
      <w:headerReference w:type="default" r:id="rId6"/>
      <w:footerReference w:type="default" r:id="rId7"/>
      <w:pgSz w:w="11906" w:h="16838" w:orient="portrait"/>
      <w:pgMar w:top="1080" w:right="1080" w:bottom="1080" w:left="108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B6270"/>
        <w:sz w:val="16"/>
        <w:szCs w:val="16"/>
      </w:rPr>
      <w:t xml:space="preserve">v1.0  ·  27 October 2026  ·  Growthmak</w:t>
    </w:r>
    <w:r>
      <w:rPr>
        <w:rFonts w:ascii="Arial" w:cs="Arial" w:eastAsia="Arial" w:hAnsi="Arial"/>
        <w:color w:val="5B6270"/>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B" w:sz="4" w:space="4"/>
      </w:pBdr>
      <w:tabs>
        <w:tab w:val="right" w:pos="9746"/>
      </w:tabs>
    </w:pPr>
    <w:r>
      <w:rPr>
        <w:rFonts w:ascii="Arial" w:cs="Arial" w:eastAsia="Arial" w:hAnsi="Arial"/>
        <w:color w:val="5B6270"/>
        <w:sz w:val="16"/>
        <w:szCs w:val="16"/>
      </w:rPr>
      <w:t xml:space="preserve">Moori Interiors  |  ICP &amp; Persona Master Document</w:t>
    </w:r>
    <w:r>
      <w:rPr>
        <w:rFonts w:ascii="Arial" w:cs="Arial" w:eastAsia="Arial" w:hAnsi="Arial"/>
        <w:color w:val="5B627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07A45" w:sz="10" w:space="6"/>
      </w:pBdr>
      <w:spacing w:after="220" w:before="120"/>
      <w:outlineLvl w:val="0"/>
    </w:pPr>
    <w:rPr>
      <w:rFonts w:ascii="Arial" w:cs="Arial" w:eastAsia="Arial" w:hAnsi="Arial"/>
      <w:b/>
      <w:bCs/>
      <w:color w:val="1F2A44"/>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1F2A44"/>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A07A4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&amp; Persona Master Document</dc:title>
  <dc:creator>Growthmak</dc:creator>
  <cp:lastModifiedBy>Un-named</cp:lastModifiedBy>
  <cp:revision>1</cp:revision>
  <dcterms:created xsi:type="dcterms:W3CDTF">2026-10-27T16:04:13.707Z</dcterms:created>
  <dcterms:modified xsi:type="dcterms:W3CDTF">2026-10-27T16:04:13.707Z</dcterms:modified>
</cp:coreProperties>
</file>

<file path=docProps/custom.xml><?xml version="1.0" encoding="utf-8"?>
<Properties xmlns="http://schemas.openxmlformats.org/officeDocument/2006/custom-properties" xmlns:vt="http://schemas.openxmlformats.org/officeDocument/2006/docPropsVTypes"/>
</file>