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A07A45"/>
          <w:spacing w:val="40"/>
          <w:sz w:val="18"/>
          <w:szCs w:val="18"/>
        </w:rPr>
        <w:t xml:space="preserve">MOORI INTERIORS  ·  WEBSITE GROWTH PROGRAMME</w:t>
      </w:r>
    </w:p>
    <w:p>
      <w:pPr>
        <w:pBdr>
          <w:bottom w:val="single" w:color="A07A45" w:sz="12" w:space="8"/>
        </w:pBdr>
        <w:spacing w:after="300"/>
      </w:pPr>
      <w:r>
        <w:rPr>
          <w:rFonts w:ascii="Arial" w:cs="Arial" w:eastAsia="Arial" w:hAnsi="Arial"/>
          <w:b/>
          <w:bCs/>
          <w:color w:val="1F2A44"/>
          <w:sz w:val="60"/>
          <w:szCs w:val="60"/>
        </w:rPr>
        <w:t xml:space="preserve">Competitor Analysis</w:t>
      </w:r>
    </w:p>
    <w:p>
      <w:pPr>
        <w:spacing w:after="900"/>
      </w:pPr>
      <w:r>
        <w:rPr>
          <w:rFonts w:ascii="Arial" w:cs="Arial" w:eastAsia="Arial" w:hAnsi="Arial"/>
          <w:color w:val="5B6270"/>
          <w:sz w:val="26"/>
          <w:szCs w:val="26"/>
        </w:rPr>
        <w:t xml:space="preserve">Who Moori Interiors' ideal clients see instead of Moori when they search, how those firms win the enquiry, and where Moori can take ground.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Client</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Moori Interiors (Dubai)</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Inputs</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Business Goal Research and ICP &amp; Persona Master Document (27 Oct 2026)</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Competitor set</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10 firms profiled + Zen Interiors (search and Maps data only)</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Evidence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Google UAE search results for 10 ICP queries; Google Maps profiles; each competitor's homepage, villa/hospitality, portfolio, case-study and contact pages (all observed 27 Oct 2026)</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Feeds into</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Sitemap</w:t>
            </w:r>
          </w:p>
        </w:tc>
      </w:tr>
    </w:tbl>
    <w:p>
      <w:pPr>
        <w:spacing w:before="1400"/>
      </w:pPr>
      <w:r>
        <w:rPr>
          <w:rFonts w:ascii="Arial" w:cs="Arial" w:eastAsia="Arial" w:hAnsi="Arial"/>
          <w:i/>
          <w:iCs/>
          <w:color w:val="5B6270"/>
          <w:sz w:val="17"/>
          <w:szCs w:val="17"/>
        </w:rPr>
        <w:t xml:space="preserve">Prepared by Growthmak for Moori Interiors. Confidential — for internal planning and client review.</w:t>
      </w:r>
    </w:p>
    <w:p>
      <w:pPr>
        <w:pageBreakBefore/>
        <w:pBdr>
          <w:bottom w:val="single" w:color="A07A45" w:sz="10" w:space="6"/>
        </w:pBdr>
        <w:spacing w:after="220"/>
      </w:pPr>
      <w:r>
        <w:rPr>
          <w:rFonts w:ascii="Arial" w:cs="Arial" w:eastAsia="Arial" w:hAnsi="Arial"/>
          <w:b/>
          <w:bCs/>
          <w:color w:val="1F2A44"/>
          <w:sz w:val="34"/>
          <w:szCs w:val="34"/>
        </w:rPr>
        <w:t xml:space="preserve">Contents</w:t>
      </w:r>
    </w:p>
    <w:p>
      <w:pPr>
        <w:spacing w:after="120"/>
      </w:pPr>
      <w:r>
        <w:rPr>
          <w:rFonts w:ascii="Arial" w:cs="Arial" w:eastAsia="Arial" w:hAnsi="Arial"/>
          <w:b/>
          <w:bCs/>
          <w:color w:val="1F2A44"/>
          <w:sz w:val="22"/>
          <w:szCs w:val="22"/>
        </w:rPr>
        <w:t xml:space="preserve">1. Executive summary</w:t>
      </w:r>
    </w:p>
    <w:p>
      <w:pPr>
        <w:spacing w:after="120"/>
      </w:pPr>
      <w:r>
        <w:rPr>
          <w:rFonts w:ascii="Arial" w:cs="Arial" w:eastAsia="Arial" w:hAnsi="Arial"/>
          <w:b/>
          <w:bCs/>
          <w:color w:val="1F2A44"/>
          <w:sz w:val="22"/>
          <w:szCs w:val="22"/>
        </w:rPr>
        <w:t xml:space="preserve">2. How competitors were chosen</w:t>
      </w:r>
      <w:r>
        <w:rPr>
          <w:rFonts w:ascii="Arial" w:cs="Arial" w:eastAsia="Arial" w:hAnsi="Arial"/>
          <w:color w:val="5B6270"/>
          <w:sz w:val="19"/>
          <w:szCs w:val="19"/>
        </w:rPr>
        <w:t xml:space="preserve">  —  from the ICP and the stated competitor types</w:t>
      </w:r>
    </w:p>
    <w:p>
      <w:pPr>
        <w:spacing w:after="120"/>
      </w:pPr>
      <w:r>
        <w:rPr>
          <w:rFonts w:ascii="Arial" w:cs="Arial" w:eastAsia="Arial" w:hAnsi="Arial"/>
          <w:b/>
          <w:bCs/>
          <w:color w:val="1F2A44"/>
          <w:sz w:val="22"/>
          <w:szCs w:val="22"/>
        </w:rPr>
        <w:t xml:space="preserve">3. The competitive landscape</w:t>
      </w:r>
      <w:r>
        <w:rPr>
          <w:rFonts w:ascii="Arial" w:cs="Arial" w:eastAsia="Arial" w:hAnsi="Arial"/>
          <w:color w:val="5B6270"/>
          <w:sz w:val="19"/>
          <w:szCs w:val="19"/>
        </w:rPr>
        <w:t xml:space="preserve">  —  four archetypes</w:t>
      </w:r>
    </w:p>
    <w:p>
      <w:pPr>
        <w:spacing w:after="120"/>
      </w:pPr>
      <w:r>
        <w:rPr>
          <w:rFonts w:ascii="Arial" w:cs="Arial" w:eastAsia="Arial" w:hAnsi="Arial"/>
          <w:b/>
          <w:bCs/>
          <w:color w:val="1F2A44"/>
          <w:sz w:val="22"/>
          <w:szCs w:val="22"/>
        </w:rPr>
        <w:t xml:space="preserve">4. Who owns the buyer's search</w:t>
      </w:r>
      <w:r>
        <w:rPr>
          <w:rFonts w:ascii="Arial" w:cs="Arial" w:eastAsia="Arial" w:hAnsi="Arial"/>
          <w:color w:val="5B6270"/>
          <w:sz w:val="19"/>
          <w:szCs w:val="19"/>
        </w:rPr>
        <w:t xml:space="preserve">  —  visibility and reputation</w:t>
      </w:r>
    </w:p>
    <w:p>
      <w:pPr>
        <w:spacing w:after="120"/>
      </w:pPr>
      <w:r>
        <w:rPr>
          <w:rFonts w:ascii="Arial" w:cs="Arial" w:eastAsia="Arial" w:hAnsi="Arial"/>
          <w:b/>
          <w:bCs/>
          <w:color w:val="1F2A44"/>
          <w:sz w:val="22"/>
          <w:szCs w:val="22"/>
        </w:rPr>
        <w:t xml:space="preserve">5. Head-to-head on what the ICP decides on</w:t>
      </w:r>
      <w:r>
        <w:rPr>
          <w:rFonts w:ascii="Arial" w:cs="Arial" w:eastAsia="Arial" w:hAnsi="Arial"/>
          <w:color w:val="5B6270"/>
          <w:sz w:val="19"/>
          <w:szCs w:val="19"/>
        </w:rPr>
        <w:t xml:space="preserve">  —  proof, price clarity, lead capture, local relevance</w:t>
      </w:r>
    </w:p>
    <w:p>
      <w:pPr>
        <w:spacing w:after="120"/>
      </w:pPr>
      <w:r>
        <w:rPr>
          <w:rFonts w:ascii="Arial" w:cs="Arial" w:eastAsia="Arial" w:hAnsi="Arial"/>
          <w:b/>
          <w:bCs/>
          <w:color w:val="1F2A44"/>
          <w:sz w:val="22"/>
          <w:szCs w:val="22"/>
        </w:rPr>
        <w:t xml:space="preserve">6. The "free design" contractor — what the evidence shows</w:t>
      </w:r>
    </w:p>
    <w:p>
      <w:pPr>
        <w:spacing w:after="120"/>
      </w:pPr>
      <w:r>
        <w:rPr>
          <w:rFonts w:ascii="Arial" w:cs="Arial" w:eastAsia="Arial" w:hAnsi="Arial"/>
          <w:b/>
          <w:bCs/>
          <w:color w:val="1F2A44"/>
          <w:sz w:val="22"/>
          <w:szCs w:val="22"/>
        </w:rPr>
        <w:t xml:space="preserve">7. Competitor profiles</w:t>
      </w:r>
      <w:r>
        <w:rPr>
          <w:rFonts w:ascii="Arial" w:cs="Arial" w:eastAsia="Arial" w:hAnsi="Arial"/>
          <w:color w:val="5B6270"/>
          <w:sz w:val="19"/>
          <w:szCs w:val="19"/>
        </w:rPr>
        <w:t xml:space="preserve">  —  10 firms</w:t>
      </w:r>
    </w:p>
    <w:p>
      <w:pPr>
        <w:spacing w:after="120"/>
      </w:pPr>
      <w:r>
        <w:rPr>
          <w:rFonts w:ascii="Arial" w:cs="Arial" w:eastAsia="Arial" w:hAnsi="Arial"/>
          <w:b/>
          <w:bCs/>
          <w:color w:val="1F2A44"/>
          <w:sz w:val="22"/>
          <w:szCs w:val="22"/>
        </w:rPr>
        <w:t xml:space="preserve">8. White space for Moori</w:t>
      </w:r>
      <w:r>
        <w:rPr>
          <w:rFonts w:ascii="Arial" w:cs="Arial" w:eastAsia="Arial" w:hAnsi="Arial"/>
          <w:color w:val="5B6270"/>
          <w:sz w:val="19"/>
          <w:szCs w:val="19"/>
        </w:rPr>
        <w:t xml:space="preserve">  —  gaps nobody fills</w:t>
      </w:r>
    </w:p>
    <w:p>
      <w:pPr>
        <w:spacing w:after="120"/>
      </w:pPr>
      <w:r>
        <w:rPr>
          <w:rFonts w:ascii="Arial" w:cs="Arial" w:eastAsia="Arial" w:hAnsi="Arial"/>
          <w:b/>
          <w:bCs/>
          <w:color w:val="1F2A44"/>
          <w:sz w:val="22"/>
          <w:szCs w:val="22"/>
        </w:rPr>
        <w:t xml:space="preserve">9. Implications for the website and sitemap</w:t>
      </w:r>
      <w:r>
        <w:rPr>
          <w:rFonts w:ascii="Arial" w:cs="Arial" w:eastAsia="Arial" w:hAnsi="Arial"/>
          <w:color w:val="5B6270"/>
          <w:sz w:val="19"/>
          <w:szCs w:val="19"/>
        </w:rPr>
        <w:t xml:space="preserve">  —  table stakes vs differentiators</w:t>
      </w:r>
    </w:p>
    <w:p>
      <w:pPr>
        <w:spacing w:after="120"/>
      </w:pPr>
      <w:r>
        <w:rPr>
          <w:rFonts w:ascii="Arial" w:cs="Arial" w:eastAsia="Arial" w:hAnsi="Arial"/>
          <w:b/>
          <w:bCs/>
          <w:color w:val="1F2A44"/>
          <w:sz w:val="22"/>
          <w:szCs w:val="22"/>
        </w:rPr>
        <w:t xml:space="preserve">Sources</w:t>
      </w:r>
    </w:p>
    <w:p>
      <w:pPr>
        <w:pStyle w:val="Heading1"/>
        <w:pageBreakBefore/>
      </w:pPr>
      <w:r>
        <w:rPr>
          <w:rFonts w:ascii="Arial" w:cs="Arial" w:eastAsia="Arial" w:hAnsi="Arial"/>
        </w:rPr>
        <w:t xml:space="preserve">1. Executive summary</w:t>
      </w:r>
    </w:p>
    <w:p>
      <w:pPr>
        <w:pStyle w:val="ListParagraph"/>
        <w:numPr>
          <w:ilvl w:val="0"/>
          <w:numId w:val="2"/>
        </w:numPr>
        <w:spacing w:after="80" w:line="290"/>
      </w:pPr>
      <w:r>
        <w:rPr>
          <w:rFonts w:ascii="Arial" w:cs="Arial" w:eastAsia="Arial" w:hAnsi="Arial"/>
          <w:b/>
          <w:bCs/>
          <w:color w:val="1E1E1E"/>
          <w:sz w:val="21"/>
          <w:szCs w:val="21"/>
        </w:rPr>
        <w:t xml:space="preserve">Moori is invisible where its ICP searches.</w:t>
      </w:r>
      <w:r>
        <w:rPr>
          <w:rFonts w:ascii="Arial" w:cs="Arial" w:eastAsia="Arial" w:hAnsi="Arial"/>
          <w:color w:val="1E1E1E"/>
          <w:sz w:val="21"/>
          <w:szCs w:val="21"/>
        </w:rPr>
        <w:t xml:space="preserve"> Across 10 Google UAE searches built from the ICP (villa, luxury studio, minimalist, fit-out, DAMAC Hills, Tilal Al Ghaf, Dubai Marina apartment, restaurant, consultation), Moori appeared on page one </w:t>
      </w:r>
      <w:r>
        <w:rPr>
          <w:rFonts w:ascii="Arial" w:cs="Arial" w:eastAsia="Arial" w:hAnsi="Arial"/>
          <w:b/>
          <w:bCs/>
          <w:color w:val="1E1E1E"/>
          <w:sz w:val="21"/>
          <w:szCs w:val="21"/>
        </w:rPr>
        <w:t xml:space="preserve">zero</w:t>
      </w:r>
      <w:r>
        <w:rPr>
          <w:rFonts w:ascii="Arial" w:cs="Arial" w:eastAsia="Arial" w:hAnsi="Arial"/>
          <w:color w:val="1E1E1E"/>
          <w:sz w:val="21"/>
          <w:szCs w:val="21"/>
        </w:rPr>
        <w:t xml:space="preserve"> times. Antonovich, Accouter, Spazio and Algedra appeared 4–7 times each.</w:t>
      </w:r>
    </w:p>
    <w:p>
      <w:pPr>
        <w:pStyle w:val="ListParagraph"/>
        <w:numPr>
          <w:ilvl w:val="0"/>
          <w:numId w:val="2"/>
        </w:numPr>
        <w:spacing w:after="80" w:line="290"/>
      </w:pPr>
      <w:r>
        <w:rPr>
          <w:rFonts w:ascii="Arial" w:cs="Arial" w:eastAsia="Arial" w:hAnsi="Arial"/>
          <w:b/>
          <w:bCs/>
          <w:color w:val="1E1E1E"/>
          <w:sz w:val="21"/>
          <w:szCs w:val="21"/>
        </w:rPr>
        <w:t xml:space="preserve">Moori has the weakest review base.</w:t>
      </w:r>
      <w:r>
        <w:rPr>
          <w:rFonts w:ascii="Arial" w:cs="Arial" w:eastAsia="Arial" w:hAnsi="Arial"/>
          <w:color w:val="1E1E1E"/>
          <w:sz w:val="21"/>
          <w:szCs w:val="21"/>
        </w:rPr>
        <w:t xml:space="preserve"> Google Maps: Moori 5.0 from 3 reviews; Antonovich 154, Algedra 149, Zen 103, Spazio 84, Euphoria 63.</w:t>
      </w:r>
    </w:p>
    <w:p>
      <w:pPr>
        <w:pStyle w:val="ListParagraph"/>
        <w:numPr>
          <w:ilvl w:val="0"/>
          <w:numId w:val="2"/>
        </w:numPr>
        <w:spacing w:after="80" w:line="290"/>
      </w:pPr>
      <w:r>
        <w:rPr>
          <w:rFonts w:ascii="Arial" w:cs="Arial" w:eastAsia="Arial" w:hAnsi="Arial"/>
          <w:b/>
          <w:bCs/>
          <w:color w:val="1E1E1E"/>
          <w:sz w:val="21"/>
          <w:szCs w:val="21"/>
        </w:rPr>
        <w:t xml:space="preserve">Moori's own communities are contested.</w:t>
      </w:r>
      <w:r>
        <w:rPr>
          <w:rFonts w:ascii="Arial" w:cs="Arial" w:eastAsia="Arial" w:hAnsi="Arial"/>
          <w:color w:val="1E1E1E"/>
          <w:sz w:val="21"/>
          <w:szCs w:val="21"/>
        </w:rPr>
        <w:t xml:space="preserve"> Algedra ranks #1 for "interior designer Tilal Al Ghaf" and #4 for "interior designer DAMAC Hills" with community-titled case studies; Xena has ~83 area pages including DAMAC Hills, Al Barari, Tilal Al Ghaf and Jumeirah Golf Estates.</w:t>
      </w:r>
    </w:p>
    <w:p>
      <w:pPr>
        <w:pStyle w:val="ListParagraph"/>
        <w:numPr>
          <w:ilvl w:val="0"/>
          <w:numId w:val="2"/>
        </w:numPr>
        <w:spacing w:after="80" w:line="290"/>
      </w:pPr>
      <w:r>
        <w:rPr>
          <w:rFonts w:ascii="Arial" w:cs="Arial" w:eastAsia="Arial" w:hAnsi="Arial"/>
          <w:b/>
          <w:bCs/>
          <w:color w:val="1E1E1E"/>
          <w:sz w:val="21"/>
          <w:szCs w:val="21"/>
        </w:rPr>
        <w:t xml:space="preserve">The proof gap is industry-wide — and open.</w:t>
      </w:r>
      <w:r>
        <w:rPr>
          <w:rFonts w:ascii="Arial" w:cs="Arial" w:eastAsia="Arial" w:hAnsi="Arial"/>
          <w:color w:val="1E1E1E"/>
          <w:sz w:val="21"/>
          <w:szCs w:val="21"/>
        </w:rPr>
        <w:t xml:space="preserve"> None of the 10 shows budget, duration and before/after together in a case study, and none puts a client quote on its villa case studies. Moori already has the raw material (four testimonials, AD Middle East, ISOLA, Dubai Design Week) to be first.</w:t>
      </w:r>
    </w:p>
    <w:p>
      <w:pPr>
        <w:pStyle w:val="ListParagraph"/>
        <w:numPr>
          <w:ilvl w:val="0"/>
          <w:numId w:val="2"/>
        </w:numPr>
        <w:spacing w:after="80" w:line="290"/>
      </w:pPr>
      <w:r>
        <w:rPr>
          <w:rFonts w:ascii="Arial" w:cs="Arial" w:eastAsia="Arial" w:hAnsi="Arial"/>
          <w:b/>
          <w:bCs/>
          <w:color w:val="1E1E1E"/>
          <w:sz w:val="21"/>
          <w:szCs w:val="21"/>
        </w:rPr>
        <w:t xml:space="preserve">Lead capture is the competitors' clearest advantage.</w:t>
      </w:r>
      <w:r>
        <w:rPr>
          <w:rFonts w:ascii="Arial" w:cs="Arial" w:eastAsia="Arial" w:hAnsi="Arial"/>
          <w:color w:val="1E1E1E"/>
          <w:sz w:val="21"/>
          <w:szCs w:val="21"/>
        </w:rPr>
        <w:t xml:space="preserve"> Spazio, Euphoria and Xena run multi-step forms that ask property type, location, size, budget band and timeline, and promise a reply in 1–24 hours. Moori's form asks none of these.</w:t>
      </w:r>
    </w:p>
    <w:p>
      <w:pPr>
        <w:pStyle w:val="ListParagraph"/>
        <w:numPr>
          <w:ilvl w:val="0"/>
          <w:numId w:val="2"/>
        </w:numPr>
        <w:spacing w:after="80" w:line="290"/>
      </w:pPr>
      <w:r>
        <w:rPr>
          <w:rFonts w:ascii="Arial" w:cs="Arial" w:eastAsia="Arial" w:hAnsi="Arial"/>
          <w:b/>
          <w:bCs/>
          <w:color w:val="1E1E1E"/>
          <w:sz w:val="21"/>
          <w:szCs w:val="21"/>
        </w:rPr>
        <w:t xml:space="preserve">No competitor advertises "free design" on its website.</w:t>
      </w:r>
      <w:r>
        <w:rPr>
          <w:rFonts w:ascii="Arial" w:cs="Arial" w:eastAsia="Arial" w:hAnsi="Arial"/>
          <w:color w:val="1E1E1E"/>
          <w:sz w:val="21"/>
          <w:szCs w:val="21"/>
        </w:rPr>
        <w:t xml:space="preserve"> The contractor threat Sooraj described happens in sales conversations, not on websites. Euphoria publicly argues for paid design ("lower design fee, hidden coordination cost") — the argument Moori needs, already validated by a competitor.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Positioning opportunity</w:t>
            </w:r>
          </w:p>
          <w:p>
            <w:pPr>
              <w:spacing w:after="60" w:line="290"/>
            </w:pPr>
            <w:r>
              <w:rPr>
                <w:rFonts w:ascii="Arial" w:cs="Arial" w:eastAsia="Arial" w:hAnsi="Arial"/>
                <w:color w:val="1E1E1E"/>
                <w:sz w:val="20"/>
                <w:szCs w:val="20"/>
              </w:rPr>
              <w:t xml:space="preserve">The boutique, design-led studios (Accouter, Hill House, Studio Mint) have credibility but almost no Dubai villa portfolio and weak lead capture. The integrated firms (Algedra, Antonovich, Spazio, Euphoria) capture leads well but read as volume operators. Moori can own the middle: </w:t>
            </w:r>
            <w:r>
              <w:rPr>
                <w:rFonts w:ascii="Arial" w:cs="Arial" w:eastAsia="Arial" w:hAnsi="Arial"/>
                <w:b/>
                <w:bCs/>
                <w:color w:val="1E1E1E"/>
                <w:sz w:val="20"/>
                <w:szCs w:val="20"/>
              </w:rPr>
              <w:t xml:space="preserve">a boutique, participatory studio with real Dubai villa work, transparent fees, an execution option and conversion-grade lead capture.</w:t>
            </w:r>
          </w:p>
        </w:tc>
      </w:tr>
    </w:tbl>
    <w:p>
      <w:pPr>
        <w:spacing w:after="160"/>
      </w:pPr>
    </w:p>
    <w:p>
      <w:pPr>
        <w:pStyle w:val="Heading1"/>
        <w:pageBreakBefore/>
      </w:pPr>
      <w:r>
        <w:rPr>
          <w:rFonts w:ascii="Arial" w:cs="Arial" w:eastAsia="Arial" w:hAnsi="Arial"/>
        </w:rPr>
        <w:t xml:space="preserve">2. How competitors were chosen</w:t>
      </w:r>
    </w:p>
    <w:p>
      <w:pPr>
        <w:spacing w:after="140" w:before="0" w:line="300"/>
        <w:jc w:val="left"/>
      </w:pPr>
      <w:r>
        <w:rPr>
          <w:rFonts w:ascii="Arial" w:cs="Arial" w:eastAsia="Arial" w:hAnsi="Arial"/>
          <w:color w:val="1E1E1E"/>
          <w:sz w:val="21"/>
          <w:szCs w:val="21"/>
        </w:rPr>
        <w:t xml:space="preserve">Sooraj named two competitor types on the call: </w:t>
      </w:r>
      <w:r>
        <w:rPr>
          <w:rFonts w:ascii="Arial" w:cs="Arial" w:eastAsia="Arial" w:hAnsi="Arial"/>
          <w:b/>
          <w:bCs/>
          <w:color w:val="1E1E1E"/>
          <w:sz w:val="21"/>
          <w:szCs w:val="21"/>
        </w:rPr>
        <w:t xml:space="preserve">other interior designers</w:t>
      </w:r>
      <w:r>
        <w:rPr>
          <w:rFonts w:ascii="Arial" w:cs="Arial" w:eastAsia="Arial" w:hAnsi="Arial"/>
          <w:color w:val="1E1E1E"/>
          <w:sz w:val="21"/>
          <w:szCs w:val="21"/>
        </w:rPr>
        <w:t xml:space="preserve"> (where Moori is priced competitively) and </w:t>
      </w:r>
      <w:r>
        <w:rPr>
          <w:rFonts w:ascii="Arial" w:cs="Arial" w:eastAsia="Arial" w:hAnsi="Arial"/>
          <w:b/>
          <w:bCs/>
          <w:color w:val="1E1E1E"/>
          <w:sz w:val="21"/>
          <w:szCs w:val="21"/>
        </w:rPr>
        <w:t xml:space="preserve">contractors</w:t>
      </w:r>
      <w:r>
        <w:rPr>
          <w:rFonts w:ascii="Arial" w:cs="Arial" w:eastAsia="Arial" w:hAnsi="Arial"/>
          <w:color w:val="1E1E1E"/>
          <w:sz w:val="21"/>
          <w:szCs w:val="21"/>
        </w:rPr>
        <w:t xml:space="preserve"> who offer design free because they earn on the build. The ICP adds a third arena — </w:t>
      </w:r>
      <w:r>
        <w:rPr>
          <w:rFonts w:ascii="Arial" w:cs="Arial" w:eastAsia="Arial" w:hAnsi="Arial"/>
          <w:b/>
          <w:bCs/>
          <w:color w:val="1E1E1E"/>
          <w:sz w:val="21"/>
          <w:szCs w:val="21"/>
        </w:rPr>
        <w:t xml:space="preserve">F&amp;B design</w:t>
      </w:r>
      <w:r>
        <w:rPr>
          <w:rFonts w:ascii="Arial" w:cs="Arial" w:eastAsia="Arial" w:hAnsi="Arial"/>
          <w:color w:val="1E1E1E"/>
          <w:sz w:val="21"/>
          <w:szCs w:val="21"/>
        </w:rPr>
        <w:t xml:space="preserve"> — and fixes the geography (Dubai villa communities and Marina apartments). Competitors were selected from the firms that actually appear when the ICP searches, then grouped by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73"/>
        <w:gridCol w:w="5184"/>
        <w:gridCol w:w="2489"/>
      </w:tblGrid>
      <w:tr>
        <w:trPr>
          <w:tblHeader/>
        </w:trPr>
        <w:tc>
          <w:tcPr>
            <w:tcW w:type="dxa" w:w="207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Firm</w:t>
            </w:r>
          </w:p>
        </w:tc>
        <w:tc>
          <w:tcPr>
            <w:tcW w:type="dxa" w:w="518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Why included</w:t>
            </w:r>
          </w:p>
        </w:tc>
        <w:tc>
          <w:tcPr>
            <w:tcW w:type="dxa" w:w="248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Type</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Antonovich Group</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for "luxury villa interior design dubai" and "villa interior design company dubai"</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design &amp; build</w:t>
            </w:r>
          </w:p>
        </w:tc>
      </w:tr>
      <w:tr>
        <w:trPr>
          <w:cantSplit/>
        </w:trPr>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Most appearances in the set (7 results); #1 Tilal Al Ghaf; ranks for DAMAC Hills</w:t>
            </w:r>
          </w:p>
        </w:tc>
        <w:tc>
          <w:tcPr>
            <w:tcW w:type="dxa" w:w="24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design &amp; build</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Spazio</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for "interior design and fit out dubai villa"; #2 Dubai Marina apartments</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design &amp; build + factory</w:t>
            </w:r>
          </w:p>
        </w:tc>
      </w:tr>
      <w:tr>
        <w:trPr>
          <w:cantSplit/>
        </w:trPr>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 Interiors</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Ranks for villa, Marina and consultation queries; most conversion-built site</w:t>
            </w:r>
          </w:p>
        </w:tc>
        <w:tc>
          <w:tcPr>
            <w:tcW w:type="dxa" w:w="24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design &amp; build</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 Design</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#2–3 for luxury villa and luxury studio queries</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 design-only</w:t>
            </w:r>
          </w:p>
        </w:tc>
      </w:tr>
      <w:tr>
        <w:trPr>
          <w:cantSplit/>
        </w:trPr>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 Interiors</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for "luxury interior design studio dubai"</w:t>
            </w:r>
          </w:p>
        </w:tc>
        <w:tc>
          <w:tcPr>
            <w:tcW w:type="dxa" w:w="24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 design-led</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Studio Mint</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Ranks for villa company query; minimalist aesthetic close to Moori</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 design-only</w:t>
            </w:r>
          </w:p>
        </w:tc>
      </w:tr>
      <w:tr>
        <w:trPr>
          <w:cantSplit/>
        </w:trPr>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Xena Design &amp; Build</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Runs Google Ads on villa fit-out ("Projects from AED 150,000"); ranks for Marina</w:t>
            </w:r>
          </w:p>
        </w:tc>
        <w:tc>
          <w:tcPr>
            <w:tcW w:type="dxa" w:w="24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Contractor-led design &amp; build</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Luxedesign</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Ranks for villa and minimalist queries; villa construction firm</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Contractor-led design &amp; build</w:t>
            </w:r>
          </w:p>
        </w:tc>
      </w:tr>
      <w:tr>
        <w:trPr>
          <w:cantSplit/>
        </w:trPr>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FINCH</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Ranks for "restaurant interior design dubai"; F&amp;B benchmark</w:t>
            </w:r>
          </w:p>
        </w:tc>
        <w:tc>
          <w:tcPr>
            <w:tcW w:type="dxa" w:w="24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specialist</w:t>
            </w:r>
          </w:p>
        </w:tc>
      </w:tr>
      <w:tr>
        <w:trPr>
          <w:cantSplit/>
        </w:trPr>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Zen Interiors (data only)</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"minimalist interior design dubai", #2 consultation; 103 Google reviews</w:t>
            </w:r>
          </w:p>
        </w:tc>
        <w:tc>
          <w:tcPr>
            <w:tcW w:type="dxa" w:w="24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profiled in depth</w:t>
            </w:r>
          </w:p>
        </w:tc>
      </w:tr>
    </w:tbl>
    <w:p>
      <w:pPr>
        <w:spacing w:after="120"/>
      </w:pPr>
    </w:p>
    <w:p>
      <w:pPr>
        <w:pStyle w:val="Heading1"/>
        <w:pageBreakBefore/>
      </w:pPr>
      <w:r>
        <w:rPr>
          <w:rFonts w:ascii="Arial" w:cs="Arial" w:eastAsia="Arial" w:hAnsi="Arial"/>
        </w:rPr>
        <w:t xml:space="preserve">3. The competitive landscape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030"/>
        <w:gridCol w:w="2842"/>
        <w:gridCol w:w="3250"/>
      </w:tblGrid>
      <w:tr>
        <w:trPr>
          <w:tblHeader/>
        </w:trPr>
        <w:tc>
          <w:tcPr>
            <w:tcW w:type="dxa" w:w="162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Archetype</w:t>
            </w:r>
          </w:p>
        </w:tc>
        <w:tc>
          <w:tcPr>
            <w:tcW w:type="dxa" w:w="203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Firms</w:t>
            </w:r>
          </w:p>
        </w:tc>
        <w:tc>
          <w:tcPr>
            <w:tcW w:type="dxa" w:w="284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How they win</w:t>
            </w:r>
          </w:p>
        </w:tc>
        <w:tc>
          <w:tcPr>
            <w:tcW w:type="dxa" w:w="325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Where they are weak for Moori's ICP</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 design studio</w:t>
            </w:r>
          </w:p>
        </w:tc>
        <w:tc>
          <w:tcPr>
            <w:tcW w:type="dxa" w:w="20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 Hill House, Studio Mint</w:t>
            </w:r>
          </w:p>
        </w:tc>
        <w:tc>
          <w:tcPr>
            <w:tcW w:type="dxa" w:w="28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Awards, press, named teams, refined aesthetic</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Few Dubai villa projects (≈1–5 each); hard to enquire; no pricing</w:t>
            </w:r>
          </w:p>
        </w:tc>
      </w:tr>
      <w:tr>
        <w:trPr>
          <w:cantSplit/>
        </w:trPr>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design &amp; build</w:t>
            </w:r>
          </w:p>
        </w:tc>
        <w:tc>
          <w:tcPr>
            <w:tcW w:type="dxa" w:w="203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 Antonovich, Spazio, Euphoria</w:t>
            </w:r>
          </w:p>
        </w:tc>
        <w:tc>
          <w:tcPr>
            <w:tcW w:type="dxa" w:w="28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Search volume, reviews, one-contract delivery, qualifying forms</w:t>
            </w:r>
          </w:p>
        </w:tc>
        <w:tc>
          <w:tcPr>
            <w:tcW w:type="dxa" w:w="325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Read as volume operators; few testimonials on project pages; generic case studies</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Contractor-led design &amp; build</w:t>
            </w:r>
          </w:p>
        </w:tc>
        <w:tc>
          <w:tcPr>
            <w:tcW w:type="dxa" w:w="20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Xena, Luxedesign</w:t>
            </w:r>
          </w:p>
        </w:tc>
        <w:tc>
          <w:tcPr>
            <w:tcW w:type="dxa" w:w="28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Price anchors, area pages, construction credibility</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Thin design proof; no awards; little personalisation story</w:t>
            </w:r>
          </w:p>
        </w:tc>
      </w:tr>
      <w:tr>
        <w:trPr>
          <w:cantSplit/>
        </w:trPr>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specialist</w:t>
            </w:r>
          </w:p>
        </w:tc>
        <w:tc>
          <w:tcPr>
            <w:tcW w:type="dxa" w:w="203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FINCH</w:t>
            </w:r>
          </w:p>
        </w:tc>
        <w:tc>
          <w:tcPr>
            <w:tcW w:type="dxa" w:w="28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Named F&amp;B awards and brand clients</w:t>
            </w:r>
          </w:p>
        </w:tc>
        <w:tc>
          <w:tcPr>
            <w:tcW w:type="dxa" w:w="325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Has stepped away from residential; broken contact form</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(today)</w:t>
            </w:r>
          </w:p>
        </w:tc>
        <w:tc>
          <w:tcPr>
            <w:tcW w:type="dxa" w:w="20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t>
            </w:r>
          </w:p>
        </w:tc>
        <w:tc>
          <w:tcPr>
            <w:tcW w:type="dxa" w:w="28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awards and press, participatory process, published fees, named designers</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search visibility, 3 reviews, proof buried, unqualified form</w:t>
            </w:r>
          </w:p>
        </w:tc>
      </w:tr>
    </w:tbl>
    <w:p>
      <w:pPr>
        <w:spacing w:after="120"/>
      </w:pPr>
    </w:p>
    <w:p>
      <w:pPr>
        <w:pStyle w:val="Heading1"/>
        <w:pageBreakBefore/>
      </w:pPr>
      <w:r>
        <w:rPr>
          <w:rFonts w:ascii="Arial" w:cs="Arial" w:eastAsia="Arial" w:hAnsi="Arial"/>
        </w:rPr>
        <w:t xml:space="preserve">4. Who owns the buyer's search</w:t>
      </w:r>
    </w:p>
    <w:p>
      <w:pPr>
        <w:pStyle w:val="Heading2"/>
        <w:keepNext/>
      </w:pPr>
      <w:r>
        <w:rPr>
          <w:rFonts w:ascii="Arial" w:cs="Arial" w:eastAsia="Arial" w:hAnsi="Arial"/>
        </w:rPr>
        <w:t xml:space="preserve">4.1 Page-one presence for 10 ICP searches (Google UAE)</w:t>
      </w:r>
    </w:p>
    <w:p>
      <w:pPr>
        <w:spacing w:after="140" w:before="0" w:line="300"/>
        <w:jc w:val="left"/>
      </w:pPr>
      <w:r>
        <w:rPr>
          <w:rFonts w:ascii="Arial" w:cs="Arial" w:eastAsia="Arial" w:hAnsi="Arial"/>
          <w:i/>
          <w:iCs/>
          <w:color w:val="5B6270"/>
          <w:sz w:val="17"/>
          <w:szCs w:val="17"/>
        </w:rPr>
        <w:t xml:space="preserve">Number = organic position on page one; "Ad" = paid result; blank = not on page one. Positions include map packs and directories as they appeared.</w:t>
      </w:r>
    </w:p>
    <w:p>
      <w:pPr>
        <w:spacing w:after="140" w:before="0" w:line="300"/>
        <w:jc w:val="left"/>
      </w:pPr>
      <w:r>
        <w:rPr>
          <w:rFonts w:ascii="Arial" w:cs="Arial" w:eastAsia="Arial" w:hAnsi="Arial"/>
          <w:i/>
          <w:iCs/>
          <w:color w:val="5B6270"/>
          <w:sz w:val="17"/>
          <w:szCs w:val="17"/>
        </w:rPr>
        <w:t xml:space="preserve">Q1 luxury villa interior design dubai · Q2 villa interior design company dubai · Q3 luxury interior design studio dubai · Q4 minimalist interior design dubai · Q5 interior design and fit out dubai villa · Q6 interior designer DAMAC Hills · Q7 interior designer Tilal Al Ghaf · Q8 apartment interior design dubai marina · Q9 restaurant interior design dubai · Q10 interior design consultation dubai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28"/>
        <w:gridCol w:w="765"/>
        <w:gridCol w:w="765"/>
        <w:gridCol w:w="765"/>
        <w:gridCol w:w="765"/>
        <w:gridCol w:w="765"/>
        <w:gridCol w:w="765"/>
        <w:gridCol w:w="765"/>
        <w:gridCol w:w="765"/>
        <w:gridCol w:w="765"/>
        <w:gridCol w:w="816"/>
        <w:gridCol w:w="617"/>
      </w:tblGrid>
      <w:tr>
        <w:trPr>
          <w:tblHeader/>
        </w:trPr>
        <w:tc>
          <w:tcPr>
            <w:tcW w:type="dxa" w:w="142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Firm</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Q1</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Q2</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Q3</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Q4</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Q5</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Q6</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Q7</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Q8</w:t>
            </w:r>
          </w:p>
        </w:tc>
        <w:tc>
          <w:tcPr>
            <w:tcW w:type="dxa" w:w="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Q9</w:t>
            </w:r>
          </w:p>
        </w:tc>
        <w:tc>
          <w:tcPr>
            <w:tcW w:type="dxa" w:w="81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Q10</w:t>
            </w:r>
          </w:p>
        </w:tc>
        <w:tc>
          <w:tcPr>
            <w:tcW w:type="dxa" w:w="61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Total</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Antonovich</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Spazio</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w:t>
            </w: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Zen</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Luxedesign</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Xena</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Studio Mint</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r>
      <w:tr>
        <w:trPr>
          <w:cantSplit/>
        </w:trPr>
        <w:tc>
          <w:tcPr>
            <w:tcW w:type="dxa" w:w="1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FINCH</w:t>
            </w: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8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r>
      <w:tr>
        <w:trPr>
          <w:cantSplit/>
        </w:trPr>
        <w:tc>
          <w:tcPr>
            <w:tcW w:type="dxa" w:w="1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w:t>
            </w: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8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p>
        </w:tc>
        <w:tc>
          <w:tcPr>
            <w:tcW w:type="dxa" w:w="6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0</w:t>
            </w:r>
          </w:p>
        </w:tc>
      </w:tr>
    </w:tbl>
    <w:p>
      <w:pPr>
        <w:spacing w:after="120"/>
      </w:pPr>
    </w:p>
    <w:p>
      <w:pPr>
        <w:spacing w:after="140" w:before="0" w:line="300"/>
        <w:jc w:val="left"/>
      </w:pPr>
      <w:r>
        <w:rPr>
          <w:rFonts w:ascii="Arial" w:cs="Arial" w:eastAsia="Arial" w:hAnsi="Arial"/>
          <w:color w:val="1E1E1E"/>
          <w:sz w:val="21"/>
          <w:szCs w:val="21"/>
        </w:rPr>
        <w:t xml:space="preserve">The query "minimalist interior design dubai" describes Moori's positioning exactly; Zen Interiors, DNL Interiors, Antonovich and Algedra hold it. Instagram posts from other studios also rank for community queries (DAMAC Hills, Tilal Al Ghaf), which Moori's own Instagram does not.</w:t>
      </w:r>
    </w:p>
    <w:p>
      <w:pPr>
        <w:pStyle w:val="Heading2"/>
        <w:keepNext/>
      </w:pPr>
      <w:r>
        <w:rPr>
          <w:rFonts w:ascii="Arial" w:cs="Arial" w:eastAsia="Arial" w:hAnsi="Arial"/>
        </w:rPr>
        <w:t xml:space="preserve">4.2 Reputation on Google Maps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46"/>
        <w:gridCol w:w="1133"/>
        <w:gridCol w:w="1133"/>
        <w:gridCol w:w="4534"/>
      </w:tblGrid>
      <w:tr>
        <w:trPr>
          <w:tblHeader/>
        </w:trPr>
        <w:tc>
          <w:tcPr>
            <w:tcW w:type="dxa" w:w="294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Firm</w:t>
            </w:r>
          </w:p>
        </w:tc>
        <w:tc>
          <w:tcPr>
            <w:tcW w:type="dxa" w:w="11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Rating</w:t>
            </w:r>
          </w:p>
        </w:tc>
        <w:tc>
          <w:tcPr>
            <w:tcW w:type="dxa" w:w="11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Reviews</w:t>
            </w:r>
          </w:p>
        </w:tc>
        <w:tc>
          <w:tcPr>
            <w:tcW w:type="dxa" w:w="453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Category / note</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Antonovich Design</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4.4</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154</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4.3</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149</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Zen Interiors</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4.7</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103</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Spazio</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4.6</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84</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 Interiors</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5.0</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63</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 (site badge claims 4.9/5)</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4.8</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22</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Listing is the UK showroom</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FINCH</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4.8</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21</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Xena</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4.5</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19</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Luxedesign Villas</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4.6</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18</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Construction company</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Interiors</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5.0</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 — Sports City address</w:t>
            </w:r>
          </w:p>
        </w:tc>
      </w:tr>
      <w:tr>
        <w:trPr>
          <w:cantSplit/>
        </w:trPr>
        <w:tc>
          <w:tcPr>
            <w:tcW w:type="dxa" w:w="29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5.0</w:t>
            </w:r>
          </w:p>
        </w:tc>
        <w:tc>
          <w:tcPr>
            <w:tcW w:type="dxa" w:w="11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453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Interior designer</w:t>
            </w:r>
          </w:p>
        </w:tc>
      </w:tr>
      <w:tr>
        <w:trPr>
          <w:cantSplit/>
        </w:trPr>
        <w:tc>
          <w:tcPr>
            <w:tcW w:type="dxa" w:w="294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Studio Mint</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t>
            </w:r>
          </w:p>
        </w:tc>
        <w:tc>
          <w:tcPr>
            <w:tcW w:type="dxa" w:w="11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t>
            </w:r>
          </w:p>
        </w:tc>
        <w:tc>
          <w:tcPr>
            <w:tcW w:type="dxa" w:w="453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Listed, no rating</w:t>
            </w:r>
          </w:p>
        </w:tc>
      </w:tr>
    </w:tbl>
    <w:p>
      <w:pPr>
        <w:spacing w:after="120"/>
      </w:pPr>
    </w:p>
    <w:p>
      <w:pPr>
        <w:pStyle w:val="Heading1"/>
        <w:pageBreakBefore/>
      </w:pPr>
      <w:r>
        <w:rPr>
          <w:rFonts w:ascii="Arial" w:cs="Arial" w:eastAsia="Arial" w:hAnsi="Arial"/>
        </w:rPr>
        <w:t xml:space="preserve">5. Head-to-head on what the ICP decides on</w:t>
      </w:r>
    </w:p>
    <w:p>
      <w:pPr>
        <w:spacing w:after="140" w:before="0" w:line="300"/>
        <w:jc w:val="left"/>
      </w:pPr>
      <w:r>
        <w:rPr>
          <w:rFonts w:ascii="Arial" w:cs="Arial" w:eastAsia="Arial" w:hAnsi="Arial"/>
          <w:color w:val="1E1E1E"/>
          <w:sz w:val="21"/>
          <w:szCs w:val="21"/>
        </w:rPr>
        <w:t xml:space="preserve">The ICP identified three frictions at the moment of conversion: "Will they listen to me?", "Why pay for design when a contractor includes it?" and "Can I trust this from a website?" The table rates each firm's website on the evidence a buyer would use for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0"/>
        <w:gridCol w:w="1433"/>
        <w:gridCol w:w="1261"/>
        <w:gridCol w:w="1261"/>
        <w:gridCol w:w="1203"/>
        <w:gridCol w:w="1490"/>
        <w:gridCol w:w="1608"/>
      </w:tblGrid>
      <w:tr>
        <w:trPr>
          <w:tblHeader/>
        </w:trPr>
        <w:tc>
          <w:tcPr>
            <w:tcW w:type="dxa" w:w="14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Firm</w:t>
            </w:r>
          </w:p>
        </w:tc>
        <w:tc>
          <w:tcPr>
            <w:tcW w:type="dxa" w:w="14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Proof on project pages</w:t>
            </w:r>
          </w:p>
        </w:tc>
        <w:tc>
          <w:tcPr>
            <w:tcW w:type="dxa" w:w="126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Price clarity</w:t>
            </w:r>
          </w:p>
        </w:tc>
        <w:tc>
          <w:tcPr>
            <w:tcW w:type="dxa" w:w="126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Qualifying form</w:t>
            </w:r>
          </w:p>
        </w:tc>
        <w:tc>
          <w:tcPr>
            <w:tcW w:type="dxa" w:w="120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Reply promise</w:t>
            </w:r>
          </w:p>
        </w:tc>
        <w:tc>
          <w:tcPr>
            <w:tcW w:type="dxa" w:w="14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Moori-community content</w:t>
            </w:r>
          </w:p>
        </w:tc>
        <w:tc>
          <w:tcPr>
            <w:tcW w:type="dxa" w:w="160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Personal / participatory story</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49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608"/>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r>
      <w:tr>
        <w:trPr>
          <w:cantSplit/>
        </w:trPr>
        <w:tc>
          <w:tcPr>
            <w:tcW w:type="dxa" w:w="1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w:t>
            </w:r>
          </w:p>
        </w:tc>
        <w:tc>
          <w:tcPr>
            <w:tcW w:type="dxa" w:w="1433"/>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Antonovich</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r>
        <w:trPr>
          <w:cantSplit/>
        </w:trPr>
        <w:tc>
          <w:tcPr>
            <w:tcW w:type="dxa" w:w="1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Spazio</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w:t>
            </w:r>
          </w:p>
        </w:tc>
        <w:tc>
          <w:tcPr>
            <w:tcW w:type="dxa" w:w="1433"/>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608"/>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1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w:t>
            </w:r>
          </w:p>
        </w:tc>
        <w:tc>
          <w:tcPr>
            <w:tcW w:type="dxa" w:w="1433"/>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49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608"/>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49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608"/>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1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Studio Mint</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0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49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608"/>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Xena</w:t>
            </w:r>
          </w:p>
        </w:tc>
        <w:tc>
          <w:tcPr>
            <w:tcW w:type="dxa" w:w="1433"/>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2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r>
        <w:trPr>
          <w:cantSplit/>
        </w:trPr>
        <w:tc>
          <w:tcPr>
            <w:tcW w:type="dxa" w:w="1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Luxedesign</w:t>
            </w:r>
          </w:p>
        </w:tc>
        <w:tc>
          <w:tcPr>
            <w:tcW w:type="dxa" w:w="143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03"/>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149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r>
        <w:trPr>
          <w:cantSplit/>
        </w:trPr>
        <w:tc>
          <w:tcPr>
            <w:tcW w:type="dxa" w:w="1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FINCH</w:t>
            </w:r>
          </w:p>
        </w:tc>
        <w:tc>
          <w:tcPr>
            <w:tcW w:type="dxa" w:w="1433"/>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261"/>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203"/>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149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1608"/>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r>
    </w:tbl>
    <w:p>
      <w:pPr>
        <w:spacing w:after="120"/>
      </w:pPr>
    </w:p>
    <w:p>
      <w:pPr>
        <w:spacing w:after="140" w:before="0" w:line="300"/>
        <w:jc w:val="left"/>
      </w:pPr>
      <w:r>
        <w:rPr>
          <w:rFonts w:ascii="Arial" w:cs="Arial" w:eastAsia="Arial" w:hAnsi="Arial"/>
          <w:i/>
          <w:iCs/>
          <w:color w:val="5B6270"/>
          <w:sz w:val="17"/>
          <w:szCs w:val="17"/>
        </w:rPr>
        <w:t xml:space="preserve">Definitions: Proof = testimonial, award or hard facts (size, duration, budget) on the case-study page itself. Price clarity = published fees or "from" prices. Qualifying form = asks at least property type and budget. Moori-community content = pages or case studies naming DAMAC Hills, Tilal Al Ghaf, Al Barari, Jumeirah Golf Estates or Dubai Marina. Personal story = the site explains how the client is involved and heard. Studio Mint uses a Calendly booking; Luxedesign asks community only.</w:t>
      </w:r>
    </w:p>
    <w:p>
      <w:pPr>
        <w:pStyle w:val="Heading1"/>
        <w:pageBreakBefore/>
      </w:pPr>
      <w:r>
        <w:rPr>
          <w:rFonts w:ascii="Arial" w:cs="Arial" w:eastAsia="Arial" w:hAnsi="Arial"/>
        </w:rPr>
        <w:t xml:space="preserve">6. The "free design" contractor — what the evidence shows</w:t>
      </w:r>
    </w:p>
    <w:p>
      <w:pPr>
        <w:pStyle w:val="ListParagraph"/>
        <w:numPr>
          <w:ilvl w:val="0"/>
          <w:numId w:val="2"/>
        </w:numPr>
        <w:spacing w:after="80" w:line="290"/>
      </w:pPr>
      <w:r>
        <w:rPr>
          <w:rFonts w:ascii="Arial" w:cs="Arial" w:eastAsia="Arial" w:hAnsi="Arial"/>
          <w:color w:val="1E1E1E"/>
          <w:sz w:val="21"/>
          <w:szCs w:val="21"/>
        </w:rPr>
        <w:t xml:space="preserve">Sooraj's concern is real but </w:t>
      </w:r>
      <w:r>
        <w:rPr>
          <w:rFonts w:ascii="Arial" w:cs="Arial" w:eastAsia="Arial" w:hAnsi="Arial"/>
          <w:b/>
          <w:bCs/>
          <w:color w:val="1E1E1E"/>
          <w:sz w:val="21"/>
          <w:szCs w:val="21"/>
        </w:rPr>
        <w:t xml:space="preserve">not visible on websites</w:t>
      </w:r>
      <w:r>
        <w:rPr>
          <w:rFonts w:ascii="Arial" w:cs="Arial" w:eastAsia="Arial" w:hAnsi="Arial"/>
          <w:color w:val="1E1E1E"/>
          <w:sz w:val="21"/>
          <w:szCs w:val="21"/>
        </w:rPr>
        <w:t xml:space="preserve">: none of the 10 firms states that design is free. The contractor-led firms (Xena, Luxedesign) simply never state a design fee and both offer design-only as an option.</w:t>
      </w:r>
    </w:p>
    <w:p>
      <w:pPr>
        <w:pStyle w:val="ListParagraph"/>
        <w:numPr>
          <w:ilvl w:val="0"/>
          <w:numId w:val="2"/>
        </w:numPr>
        <w:spacing w:after="80" w:line="290"/>
      </w:pPr>
      <w:r>
        <w:rPr>
          <w:rFonts w:ascii="Arial" w:cs="Arial" w:eastAsia="Arial" w:hAnsi="Arial"/>
          <w:color w:val="1E1E1E"/>
          <w:sz w:val="21"/>
          <w:szCs w:val="21"/>
        </w:rPr>
        <w:t xml:space="preserve">Xena's FAQ says cost "is driven by the scope rather than the route" — positioning design-and-build as no more expensive than separate design.</w:t>
      </w:r>
    </w:p>
    <w:p>
      <w:pPr>
        <w:pStyle w:val="ListParagraph"/>
        <w:numPr>
          <w:ilvl w:val="0"/>
          <w:numId w:val="2"/>
        </w:numPr>
        <w:spacing w:after="80" w:line="290"/>
      </w:pPr>
      <w:r>
        <w:rPr>
          <w:rFonts w:ascii="Arial" w:cs="Arial" w:eastAsia="Arial" w:hAnsi="Arial"/>
          <w:color w:val="1E1E1E"/>
          <w:sz w:val="21"/>
          <w:szCs w:val="21"/>
        </w:rPr>
        <w:t xml:space="preserve">Euphoria publishes design fees of 8–12% of project value and compares "lower design fee, hidden coordination cost" against "higher fee, fewer mid-project surprises" — publicly making the case for paying for design.</w:t>
      </w:r>
    </w:p>
    <w:p>
      <w:pPr>
        <w:pStyle w:val="ListParagraph"/>
        <w:numPr>
          <w:ilvl w:val="0"/>
          <w:numId w:val="2"/>
        </w:numPr>
        <w:spacing w:after="80" w:line="290"/>
      </w:pPr>
      <w:r>
        <w:rPr>
          <w:rFonts w:ascii="Arial" w:cs="Arial" w:eastAsia="Arial" w:hAnsi="Arial"/>
          <w:color w:val="1E1E1E"/>
          <w:sz w:val="21"/>
          <w:szCs w:val="21"/>
        </w:rPr>
        <w:t xml:space="preserve">Spazio and Euphoria offer free consultations or site visits as the entry point; Moori's complimentary consultation is equivalent.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Implication</w:t>
            </w:r>
          </w:p>
          <w:p>
            <w:pPr>
              <w:spacing w:after="60" w:line="290"/>
            </w:pPr>
            <w:r>
              <w:rPr>
                <w:rFonts w:ascii="Arial" w:cs="Arial" w:eastAsia="Arial" w:hAnsi="Arial"/>
                <w:color w:val="1E1E1E"/>
                <w:sz w:val="20"/>
                <w:szCs w:val="20"/>
              </w:rPr>
              <w:t xml:space="preserve">The "free design" offer is a sales-conversation tactic, so Moori's answer belongs on the pages a comparing buyer reads: Services, Pricing and the consultation page. Moori's published design tier (AED 12–40k, typically 2–5 bedroom homes) sits below Euphoria's worked example of an AED 80–120k design fee on an AED 1M project. The scopes are not like-for-like, but the comparison is consistent with Sooraj's statement that Moori is competitively priced against other designers.</w:t>
            </w:r>
          </w:p>
        </w:tc>
      </w:tr>
    </w:tbl>
    <w:p>
      <w:pPr>
        <w:spacing w:after="160"/>
      </w:pPr>
    </w:p>
    <w:p>
      <w:pPr>
        <w:pStyle w:val="Heading1"/>
        <w:pageBreakBefore/>
      </w:pPr>
      <w:r>
        <w:rPr>
          <w:rFonts w:ascii="Arial" w:cs="Arial" w:eastAsia="Arial" w:hAnsi="Arial"/>
        </w:rPr>
        <w:t xml:space="preserve">7. Competitor profiles</w:t>
      </w:r>
    </w:p>
    <w:p>
      <w:pPr>
        <w:pStyle w:val="Heading2"/>
        <w:keepNext/>
      </w:pPr>
      <w:r>
        <w:rPr>
          <w:rFonts w:ascii="Arial" w:cs="Arial" w:eastAsia="Arial" w:hAnsi="Arial"/>
        </w:rPr>
        <w:t xml:space="preserve">7.1 Algedra — the direct threat in Moori's communities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Integrated architecture, interiors, landscape and fit-out; helps with authority approvals. ~50+ staff, founded 2013.</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Positioning</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Villa page: turnkey, bespoke, "move-in ready".</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Price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published.</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Header "Free Consultation"; "Request a quote" (reply within one working day); form: name, email, phone, subject, message — no qualifying fields; toll-free number.</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 photo testimonials on a separate page; Luxury Lifestyle Award 2022, DIAFA 2022, Arabian Award 2024; 500+ projects claim. Google: 4.3 from 149.</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pages titled with style and community (e.g. "Utopia Organic Contemporary Villa, DAMAC Hills"; "The Nest, Al Barari"); ~34 photos; no size/budget/duration/quote.</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Content</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Location pages incl. Tilal Al Ghaf; villa page names Al Barari and Tilal Al Ghaf; active blog.</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Owns Moori's communities in search / Feels corporate; testimonials hidden; no prices.</w:t>
            </w:r>
          </w:p>
        </w:tc>
      </w:tr>
    </w:tbl>
    <w:p>
      <w:pPr>
        <w:spacing w:after="120"/>
      </w:pPr>
    </w:p>
    <w:p>
      <w:pPr>
        <w:pStyle w:val="Heading2"/>
        <w:keepNext/>
      </w:pPr>
      <w:r>
        <w:rPr>
          <w:rFonts w:ascii="Arial" w:cs="Arial" w:eastAsia="Arial" w:hAnsi="Arial"/>
        </w:rPr>
        <w:t xml:space="preserve">7.2 Antonovich Group — volume leader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construction and fit-out; own furniture shop; showroom on Al Wasl Road; offices in Business Bay and Riyadh.</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Price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published.</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Header/hero: Book Consultation, WhatsApp, Call; quote pop-up (24h reply); AI chat; brochure offer. Forms have no qualifying fields.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our clients say" heading with no testimonials; Forbes Entrepreneur of the Year 2023; ISO 9001; 500+ projects, 30+ countries claims. Google: 4.4 from 154.</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Filters by category; storytelling mostly on YouTube; no case-study pages.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Content</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Near-daily blog; many keyword pages; English, Arabic, Russian.</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Single-contract offer, showroom, video library / Reads as an SEO content farm; no testimonials or case studies.</w:t>
            </w:r>
          </w:p>
        </w:tc>
      </w:tr>
    </w:tbl>
    <w:p>
      <w:pPr>
        <w:spacing w:after="120"/>
      </w:pPr>
    </w:p>
    <w:p>
      <w:pPr>
        <w:pStyle w:val="Heading2"/>
        <w:keepNext/>
      </w:pPr>
      <w:r>
        <w:rPr>
          <w:rFonts w:ascii="Arial" w:cs="Arial" w:eastAsia="Arial" w:hAnsi="Arial"/>
        </w:rPr>
        <w:t xml:space="preserve">7.3 Spazio — the lead-capture benchmark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Design-only or design &amp; build; own furniture, joinery and aluminium factory; 150+ staff; since 2008.</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Price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Published: villa from AED 150k (pricing page) / from AED 80k (villa page — inconsistent); apartment from AED 40k; full villa AED 250k–1M+; timelines 10–16 weeks (3–5 rooms), 4–8 months (full villa).</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Pop-up with project-type dropdown, "reply within 1 hour"; 3-step estimate form: type, size slider, location, 7 budget bands, timeline; WhatsApp widget; free site visit.</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testimonials on pages checked; IDA Honorable Mention; 3× ISO. Google: 4.6 from 84.</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~105 entries; filters by category, property type, scope and location; project pages generic (location "Dubai, UAE").</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Best qualification and price anchoring / No named designers or testimonials; volume-contractor feel.</w:t>
            </w:r>
          </w:p>
        </w:tc>
      </w:tr>
    </w:tbl>
    <w:p>
      <w:pPr>
        <w:spacing w:after="120"/>
      </w:pPr>
    </w:p>
    <w:p>
      <w:pPr>
        <w:pStyle w:val="Heading2"/>
        <w:keepNext/>
      </w:pPr>
      <w:r>
        <w:rPr>
          <w:rFonts w:ascii="Arial" w:cs="Arial" w:eastAsia="Arial" w:hAnsi="Arial"/>
        </w:rPr>
        <w:t xml:space="preserve">7.4 Euphoria Interiors — the transparent converter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(2–4 weeks), furnishing (2–4 weeks) or turnkey design-build (10–20 weeks).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Price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fees 8–12% of project value; fit-out AED 150–250 (basic), 300–500 (mid), 800+ (luxury) per sq ft; cost calculator.</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"Get Instant Quote (in 60 sec)"; 10-step form incl. location, property type, budget band, timeline and decision-maker role; reply within one business day; WhatsApp.</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 video testimonials; ISO 9001; developer logos (no client heading); triple guarantee incl. 30-day post-handover refund (terms apply). Google: 5.0 from 63.</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Filters incl. F&amp;B; cards show location, sq ft and weeks; case study e.g. Dubai Sports City, 5,800 sq ft, 20 weeks.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Content</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361 blog posts; ~26 location pages; FAQs.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Most transparent, most conversion-built / Mid-market feel (budgets from under AED 100k, studios); template bugs.</w:t>
            </w:r>
          </w:p>
        </w:tc>
      </w:tr>
    </w:tbl>
    <w:p>
      <w:pPr>
        <w:spacing w:after="120"/>
      </w:pPr>
    </w:p>
    <w:p>
      <w:pPr>
        <w:pStyle w:val="Heading2"/>
        <w:keepNext/>
      </w:pPr>
      <w:r>
        <w:rPr>
          <w:rFonts w:ascii="Arial" w:cs="Arial" w:eastAsia="Arial" w:hAnsi="Arial"/>
        </w:rPr>
        <w:t xml:space="preserve">7.5 Accouter Design — boutique credibility, weak capture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only (London studio with Dubai office); RIBA-style stages; FF&amp;E procurement; tender packs for builders.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enquiry form — email and phone only; hero CTA "Explore Our Portfolio"; luxury-interiors report as lead magnet.</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BIID, SBID, UK awards; B Corp; 17 named staff. Google: 5.0 from 2.</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15 projects; Dubai: Palm Jumeirah villa (19,035 sq ft), Villa Vandrel, Atlantis show apartment.</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Strongest pure-design luxury credentials / Hardest to enquire; thin Dubai portfolio.</w:t>
            </w:r>
          </w:p>
        </w:tc>
      </w:tr>
    </w:tbl>
    <w:p>
      <w:pPr>
        <w:spacing w:after="120"/>
      </w:pPr>
    </w:p>
    <w:p>
      <w:pPr>
        <w:pStyle w:val="Heading2"/>
        <w:keepNext/>
      </w:pPr>
      <w:r>
        <w:rPr>
          <w:rFonts w:ascii="Arial" w:cs="Arial" w:eastAsia="Arial" w:hAnsi="Arial"/>
        </w:rPr>
        <w:t xml:space="preserve">7.6 Hill House Interiors — British luxury satellite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Design-led with turnkey, styling and project management.</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Header "Book a consultation"; two-tab form (no qualifying fields); Dubai WhatsApp number.</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Five award badges; International Property Awards 2025–26 for Atlantis The Royal Residences; 12 press features (Robb Report, Gulf News). Google: 4.8 from 22 (UK listing).</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Luxury press and awards / Only one Dubai project; no prices or Dubai testimonials.</w:t>
            </w:r>
          </w:p>
        </w:tc>
      </w:tr>
    </w:tbl>
    <w:p>
      <w:pPr>
        <w:spacing w:after="120"/>
      </w:pPr>
    </w:p>
    <w:p>
      <w:pPr>
        <w:pStyle w:val="Heading2"/>
        <w:keepNext/>
      </w:pPr>
      <w:r>
        <w:rPr>
          <w:rFonts w:ascii="Arial" w:cs="Arial" w:eastAsia="Arial" w:hAnsi="Arial"/>
        </w:rPr>
        <w:t xml:space="preserve">7.7 Studio Mint — closest aesthetic, little Dubai proof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only (Melbourne studio, Dubai office).</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"Book a call" with embedded Calendly 30-minute booking — easiest booking in the set.</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Australian press; Good Design Award; 11 named staff. No Google rating.</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43 projects, 5 in UAE (developer residences, retail).</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Clean, design-led and frictionless booking / Almost no Dubai villa work; stale blog.</w:t>
            </w:r>
          </w:p>
        </w:tc>
      </w:tr>
    </w:tbl>
    <w:p>
      <w:pPr>
        <w:spacing w:after="120"/>
      </w:pPr>
    </w:p>
    <w:p>
      <w:pPr>
        <w:pStyle w:val="Heading2"/>
        <w:keepNext/>
      </w:pPr>
      <w:r>
        <w:rPr>
          <w:rFonts w:ascii="Arial" w:cs="Arial" w:eastAsia="Arial" w:hAnsi="Arial"/>
        </w:rPr>
        <w:t xml:space="preserve">7.8 Xena Design &amp; Build — contractor-led, SEO-heavy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contract for design, build and approvals; design-only also offered; design fee not stated.</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Price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From AED 150k; apartment renovation from 150k, restaurant/café fit-out from 350k, villa renovation from 750k (conflicting minimums).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7-step estimate form (type, community, size band, design-only vs design &amp; build, scope, budget band, start); sticky estimate/WhatsApp/call bar; Google Ads.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 text testimonials labelled Google reviews (displayed twice); "2 years of expertise"; no awards. Google: 4.5 from 19.</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Content</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~83 area pages incl. DAMAC Hills, Al Barari, Tilal Al Ghaf, Jumeirah Golf Estates; 103-question FAQ; 5 languages.</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Exact-community SEO and qualification / Thin luxury proof; 7 projects.</w:t>
            </w:r>
          </w:p>
        </w:tc>
      </w:tr>
    </w:tbl>
    <w:p>
      <w:pPr>
        <w:spacing w:after="120"/>
      </w:pPr>
    </w:p>
    <w:p>
      <w:pPr>
        <w:pStyle w:val="Heading2"/>
        <w:keepNext/>
      </w:pPr>
      <w:r>
        <w:rPr>
          <w:rFonts w:ascii="Arial" w:cs="Arial" w:eastAsia="Arial" w:hAnsi="Arial"/>
        </w:rPr>
        <w:t xml:space="preserve">7.9 Luxedesign — villa construction firm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&amp; build plus construction for villas and mansions; design fee not stated.</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"Send Enquiry" with community dropdown; reply within 12 hours; WhatsApp.</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50+ projects, 750+ employees claimed; awards unnamed; no testimonials. Google: 4.6 from 18 (category: construction).</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Ultra-prime construction credibility / Not relevant to 2–5 bedroom interior-only clients.</w:t>
            </w:r>
          </w:p>
        </w:tc>
      </w:tr>
    </w:tbl>
    <w:p>
      <w:pPr>
        <w:spacing w:after="120"/>
      </w:pPr>
    </w:p>
    <w:p>
      <w:pPr>
        <w:pStyle w:val="Heading2"/>
        <w:keepNext/>
      </w:pPr>
      <w:r>
        <w:rPr>
          <w:rFonts w:ascii="Arial" w:cs="Arial" w:eastAsia="Arial" w:hAnsi="Arial"/>
        </w:rPr>
        <w:t xml:space="preserve">7.10 FINCH — F&amp;B benchmark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Model</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only, hospitality and F&amp;B; published a May 2026 post on stopping residential work.</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capture</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header CTA; sticky WhatsApp; contact form did not render.</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Proof</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CID F&amp;B Design of the Year, Restaurant &amp; Bar Design Awards, Hospitality Design Awards 2024; clients incl. Marco Pierre White, Wagamama, Five Guys, Costa. Google: 4.8 from 21.</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Portfolio</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46 projects with filters (café, restaurant, bar, retail).</w:t>
            </w:r>
          </w:p>
        </w:tc>
      </w:tr>
      <w:tr>
        <w:trPr>
          <w:cantSplit/>
        </w:trPr>
        <w:tc>
          <w:tcPr>
            <w:tcW w:type="dxa" w:w="232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Strength / weakness</w:t>
            </w:r>
          </w:p>
        </w:tc>
        <w:tc>
          <w:tcPr>
            <w:tcW w:type="dxa" w:w="74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Deepest F&amp;B credibility / Weak lead capture; no pricing.</w:t>
            </w:r>
          </w:p>
        </w:tc>
      </w:tr>
    </w:tbl>
    <w:p>
      <w:pPr>
        <w:spacing w:after="120"/>
      </w:pPr>
    </w:p>
    <w:p>
      <w:pPr>
        <w:pStyle w:val="Heading1"/>
        <w:pageBreakBefore/>
      </w:pPr>
      <w:r>
        <w:rPr>
          <w:rFonts w:ascii="Arial" w:cs="Arial" w:eastAsia="Arial" w:hAnsi="Arial"/>
        </w:rPr>
        <w:t xml:space="preserve">8. White space for Moori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65"/>
        <w:gridCol w:w="2598"/>
        <w:gridCol w:w="3683"/>
      </w:tblGrid>
      <w:tr>
        <w:trPr>
          <w:tblHeader/>
        </w:trPr>
        <w:tc>
          <w:tcPr>
            <w:tcW w:type="dxa" w:w="34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Gap in the market</w:t>
            </w:r>
          </w:p>
        </w:tc>
        <w:tc>
          <w:tcPr>
            <w:tcW w:type="dxa" w:w="259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Who comes closest</w:t>
            </w:r>
          </w:p>
        </w:tc>
        <w:tc>
          <w:tcPr>
            <w:tcW w:type="dxa" w:w="368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Moori's asset to fill it</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Case studies with size, budget band, duration and before/after together</w:t>
            </w:r>
          </w:p>
        </w:tc>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 (size + weeks), Accouter (size)</w:t>
            </w:r>
          </w:p>
        </w:tc>
        <w:tc>
          <w:tcPr>
            <w:tcW w:type="dxa" w:w="36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Delivered 2024–25 projects; facts box template (CRO audit)</w:t>
            </w:r>
          </w:p>
        </w:tc>
      </w:tr>
      <w:tr>
        <w:trPr>
          <w:cantSplit/>
        </w:trPr>
        <w:tc>
          <w:tcPr>
            <w:tcW w:type="dxa" w:w="34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Client testimonial on the matching project page</w:t>
            </w:r>
          </w:p>
        </w:tc>
        <w:tc>
          <w:tcPr>
            <w:tcW w:type="dxa" w:w="25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None</w:t>
            </w:r>
          </w:p>
        </w:tc>
        <w:tc>
          <w:tcPr>
            <w:tcW w:type="dxa" w:w="368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 named testimonials, incl. a DAMAC Hills owner</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Named designer per project, linked to profile</w:t>
            </w:r>
          </w:p>
        </w:tc>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Accouter, Studio Mint (team pages only)</w:t>
            </w:r>
          </w:p>
        </w:tc>
        <w:tc>
          <w:tcPr>
            <w:tcW w:type="dxa" w:w="36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 of 10 project pages already name the team; "designer assigned per client" model</w:t>
            </w:r>
          </w:p>
        </w:tc>
      </w:tr>
      <w:tr>
        <w:trPr>
          <w:cantSplit/>
        </w:trPr>
        <w:tc>
          <w:tcPr>
            <w:tcW w:type="dxa" w:w="34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 studio that also executes</w:t>
            </w:r>
          </w:p>
        </w:tc>
        <w:tc>
          <w:tcPr>
            <w:tcW w:type="dxa" w:w="25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 (turnkey via PM)</w:t>
            </w:r>
          </w:p>
        </w:tc>
        <w:tc>
          <w:tcPr>
            <w:tcW w:type="dxa" w:w="368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Turnkey from AED 100k; execution oversight</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Published design-only fee</w:t>
            </w:r>
          </w:p>
        </w:tc>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Euphoria (as %)</w:t>
            </w:r>
          </w:p>
        </w:tc>
        <w:tc>
          <w:tcPr>
            <w:tcW w:type="dxa" w:w="36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AED 12–40k design tier already public</w:t>
            </w:r>
          </w:p>
        </w:tc>
      </w:tr>
      <w:tr>
        <w:trPr>
          <w:cantSplit/>
        </w:trPr>
        <w:tc>
          <w:tcPr>
            <w:tcW w:type="dxa" w:w="34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Participatory, family-centred process explained</w:t>
            </w:r>
          </w:p>
        </w:tc>
        <w:tc>
          <w:tcPr>
            <w:tcW w:type="dxa" w:w="25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None clearly</w:t>
            </w:r>
          </w:p>
        </w:tc>
        <w:tc>
          <w:tcPr>
            <w:tcW w:type="dxa" w:w="368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philosophy, discovery session, onboarding workshop</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Design-press proof on a Dubai residential studio</w:t>
            </w:r>
          </w:p>
        </w:tc>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Hill House (UK-led)</w:t>
            </w:r>
          </w:p>
        </w:tc>
        <w:tc>
          <w:tcPr>
            <w:tcW w:type="dxa" w:w="36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 Middle East, ISOLA, Dubai Design Week, House of the Future</w:t>
            </w:r>
          </w:p>
        </w:tc>
      </w:tr>
    </w:tbl>
    <w:p>
      <w:pPr>
        <w:spacing w:after="120"/>
      </w:pPr>
    </w:p>
    <w:p>
      <w:pPr>
        <w:pStyle w:val="Heading2"/>
        <w:keepNext/>
      </w:pPr>
      <w:r>
        <w:rPr>
          <w:rFonts w:ascii="Arial" w:cs="Arial" w:eastAsia="Arial" w:hAnsi="Arial"/>
        </w:rPr>
        <w:t xml:space="preserve">8.1 Where Moori must catch up (table stakes)</w:t>
      </w:r>
    </w:p>
    <w:p>
      <w:pPr>
        <w:pStyle w:val="ListParagraph"/>
        <w:numPr>
          <w:ilvl w:val="0"/>
          <w:numId w:val="2"/>
        </w:numPr>
        <w:spacing w:after="80" w:line="290"/>
      </w:pPr>
      <w:r>
        <w:rPr>
          <w:rFonts w:ascii="Arial" w:cs="Arial" w:eastAsia="Arial" w:hAnsi="Arial"/>
          <w:color w:val="1E1E1E"/>
          <w:sz w:val="21"/>
          <w:szCs w:val="21"/>
        </w:rPr>
        <w:t xml:space="preserve">Qualifying multi-step form with budget band, property type, community and timeline (Spazio, Euphoria, Xena).</w:t>
      </w:r>
    </w:p>
    <w:p>
      <w:pPr>
        <w:pStyle w:val="ListParagraph"/>
        <w:numPr>
          <w:ilvl w:val="0"/>
          <w:numId w:val="2"/>
        </w:numPr>
        <w:spacing w:after="80" w:line="290"/>
      </w:pPr>
      <w:r>
        <w:rPr>
          <w:rFonts w:ascii="Arial" w:cs="Arial" w:eastAsia="Arial" w:hAnsi="Arial"/>
          <w:color w:val="1E1E1E"/>
          <w:sz w:val="21"/>
          <w:szCs w:val="21"/>
        </w:rPr>
        <w:t xml:space="preserve">Reply-time promise (Spazio 1 hour; Luxedesign 12 hours; Euphoria/Algedra one working day).</w:t>
      </w:r>
    </w:p>
    <w:p>
      <w:pPr>
        <w:pStyle w:val="ListParagraph"/>
        <w:numPr>
          <w:ilvl w:val="0"/>
          <w:numId w:val="2"/>
        </w:numPr>
        <w:spacing w:after="80" w:line="290"/>
      </w:pPr>
      <w:r>
        <w:rPr>
          <w:rFonts w:ascii="Arial" w:cs="Arial" w:eastAsia="Arial" w:hAnsi="Arial"/>
          <w:color w:val="1E1E1E"/>
          <w:sz w:val="21"/>
          <w:szCs w:val="21"/>
        </w:rPr>
        <w:t xml:space="preserve">Community landing pages for DAMAC Hills, Tilal Al Ghaf, Al Barari, Jumeirah Golf Estates, Dubai Marina (Algedra, Xena).</w:t>
      </w:r>
    </w:p>
    <w:p>
      <w:pPr>
        <w:pStyle w:val="ListParagraph"/>
        <w:numPr>
          <w:ilvl w:val="0"/>
          <w:numId w:val="2"/>
        </w:numPr>
        <w:spacing w:after="80" w:line="290"/>
      </w:pPr>
      <w:r>
        <w:rPr>
          <w:rFonts w:ascii="Arial" w:cs="Arial" w:eastAsia="Arial" w:hAnsi="Arial"/>
          <w:color w:val="1E1E1E"/>
          <w:sz w:val="21"/>
          <w:szCs w:val="21"/>
        </w:rPr>
        <w:t xml:space="preserve">Filterable portfolio (Spazio, Euphoria, FINCH).</w:t>
      </w:r>
    </w:p>
    <w:p>
      <w:pPr>
        <w:pStyle w:val="ListParagraph"/>
        <w:numPr>
          <w:ilvl w:val="0"/>
          <w:numId w:val="2"/>
        </w:numPr>
        <w:spacing w:after="80" w:line="290"/>
      </w:pPr>
      <w:r>
        <w:rPr>
          <w:rFonts w:ascii="Arial" w:cs="Arial" w:eastAsia="Arial" w:hAnsi="Arial"/>
          <w:color w:val="1E1E1E"/>
          <w:sz w:val="21"/>
          <w:szCs w:val="21"/>
        </w:rPr>
        <w:t xml:space="preserve">Google review volume — the most visible competitors hold 63–154.</w:t>
      </w:r>
    </w:p>
    <w:p>
      <w:pPr>
        <w:pStyle w:val="Heading1"/>
        <w:pageBreakBefore/>
      </w:pPr>
      <w:r>
        <w:rPr>
          <w:rFonts w:ascii="Arial" w:cs="Arial" w:eastAsia="Arial" w:hAnsi="Arial"/>
        </w:rPr>
        <w:t xml:space="preserve">9. Implications for the website and sitemap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96"/>
        <w:gridCol w:w="3178"/>
        <w:gridCol w:w="1272"/>
      </w:tblGrid>
      <w:tr>
        <w:trPr>
          <w:tblHeader/>
        </w:trPr>
        <w:tc>
          <w:tcPr>
            <w:tcW w:type="dxa" w:w="529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Requirement</w:t>
            </w:r>
          </w:p>
        </w:tc>
        <w:tc>
          <w:tcPr>
            <w:tcW w:type="dxa" w:w="317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Driven by</w:t>
            </w:r>
          </w:p>
        </w:tc>
        <w:tc>
          <w:tcPr>
            <w:tcW w:type="dxa" w:w="127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Priority</w:t>
            </w:r>
          </w:p>
        </w:tc>
      </w:tr>
      <w:tr>
        <w:trPr>
          <w:cantSplit/>
        </w:trPr>
        <w:tc>
          <w:tcPr>
            <w:tcW w:type="dxa" w:w="529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Community landing pages, each with the Moori project in that community and a testimonial</w:t>
            </w:r>
          </w:p>
        </w:tc>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Algedra/Xena own community search; ICP geography</w:t>
            </w:r>
          </w:p>
        </w:tc>
        <w:tc>
          <w:tcPr>
            <w:tcW w:type="dxa" w:w="127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529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Portfolio hub with filters (villa, townhouse, apartment, F&amp;B, landscape) and concept work separated</w:t>
            </w:r>
          </w:p>
        </w:tc>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Spazio/Euphoria/FINCH filters; CRO issue A</w:t>
            </w:r>
          </w:p>
        </w:tc>
        <w:tc>
          <w:tcPr>
            <w:tcW w:type="dxa" w:w="127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529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Proof-led case-study template (facts, budget band, duration, quote, designer)</w:t>
            </w:r>
          </w:p>
        </w:tc>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White space; CRO issue B</w:t>
            </w:r>
          </w:p>
        </w:tc>
        <w:tc>
          <w:tcPr>
            <w:tcW w:type="dxa" w:w="127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529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Multi-step qualifying consultation form with reply promise and WhatsApp option</w:t>
            </w:r>
          </w:p>
        </w:tc>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Table stakes; BGR qualification need</w:t>
            </w:r>
          </w:p>
        </w:tc>
        <w:tc>
          <w:tcPr>
            <w:tcW w:type="dxa" w:w="127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529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"Designer vs design &amp; build" comparison on Services and Pricing</w:t>
            </w:r>
          </w:p>
        </w:tc>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 threat (stated); Euphoria precedent</w:t>
            </w:r>
          </w:p>
        </w:tc>
        <w:tc>
          <w:tcPr>
            <w:tcW w:type="dxa" w:w="127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High</w:t>
            </w:r>
          </w:p>
        </w:tc>
      </w:tr>
      <w:tr>
        <w:trPr>
          <w:cantSplit/>
        </w:trPr>
        <w:tc>
          <w:tcPr>
            <w:tcW w:type="dxa" w:w="529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Hospitality &amp; F&amp;B service page and portfolio filter</w:t>
            </w:r>
          </w:p>
        </w:tc>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ICP Persona C; FINCH benchmark</w:t>
            </w:r>
          </w:p>
        </w:tc>
        <w:tc>
          <w:tcPr>
            <w:tcW w:type="dxa" w:w="127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High</w:t>
            </w:r>
          </w:p>
        </w:tc>
      </w:tr>
      <w:tr>
        <w:trPr>
          <w:cantSplit/>
        </w:trPr>
        <w:tc>
          <w:tcPr>
            <w:tcW w:type="dxa" w:w="529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Remote-owner page (online process, single point of contact)</w:t>
            </w:r>
          </w:p>
        </w:tc>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ICP Persona B; no competitor offers it</w:t>
            </w:r>
          </w:p>
        </w:tc>
        <w:tc>
          <w:tcPr>
            <w:tcW w:type="dxa" w:w="127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High</w:t>
            </w:r>
          </w:p>
        </w:tc>
      </w:tr>
      <w:tr>
        <w:trPr>
          <w:cantSplit/>
        </w:trPr>
        <w:tc>
          <w:tcPr>
            <w:tcW w:type="dxa" w:w="529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Press &amp; awards page linked from every project page</w:t>
            </w:r>
          </w:p>
        </w:tc>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Boutique-studio credibility</w:t>
            </w:r>
          </w:p>
        </w:tc>
        <w:tc>
          <w:tcPr>
            <w:tcW w:type="dxa" w:w="1272"/>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529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Journal organised around buyer questions (cost, process, communities)</w:t>
            </w:r>
          </w:p>
        </w:tc>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Competitor content depth</w:t>
            </w:r>
          </w:p>
        </w:tc>
        <w:tc>
          <w:tcPr>
            <w:tcW w:type="dxa" w:w="1272"/>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bl>
    <w:p>
      <w:pPr>
        <w:spacing w:after="120"/>
      </w:pPr>
    </w:p>
    <w:p>
      <w:pPr>
        <w:pStyle w:val="Heading1"/>
        <w:pageBreakBefore/>
      </w:pPr>
      <w:r>
        <w:rPr>
          <w:rFonts w:ascii="Arial" w:cs="Arial" w:eastAsia="Arial" w:hAnsi="Arial"/>
        </w:rPr>
        <w:t xml:space="preserve">Sources</w:t>
      </w:r>
    </w:p>
    <w:p>
      <w:pPr>
        <w:pStyle w:val="ListParagraph"/>
        <w:numPr>
          <w:ilvl w:val="0"/>
          <w:numId w:val="2"/>
        </w:numPr>
        <w:spacing w:after="80" w:line="290"/>
      </w:pPr>
      <w:r>
        <w:rPr>
          <w:rFonts w:ascii="Arial" w:cs="Arial" w:eastAsia="Arial" w:hAnsi="Arial"/>
          <w:color w:val="1E1E1E"/>
          <w:sz w:val="21"/>
          <w:szCs w:val="21"/>
        </w:rPr>
        <w:t xml:space="preserve">Google UAE search results (google.ae, English, desktop) for 10 queries, via Apify Google Search Scraper, 27 Oct 2026.</w:t>
      </w:r>
    </w:p>
    <w:p>
      <w:pPr>
        <w:pStyle w:val="ListParagraph"/>
        <w:numPr>
          <w:ilvl w:val="0"/>
          <w:numId w:val="2"/>
        </w:numPr>
        <w:spacing w:after="80" w:line="290"/>
      </w:pPr>
      <w:r>
        <w:rPr>
          <w:rFonts w:ascii="Arial" w:cs="Arial" w:eastAsia="Arial" w:hAnsi="Arial"/>
          <w:color w:val="1E1E1E"/>
          <w:sz w:val="21"/>
          <w:szCs w:val="21"/>
        </w:rPr>
        <w:t xml:space="preserve">Google Maps listings via Apify Google Places crawler, 27 Oct 2026.</w:t>
      </w:r>
    </w:p>
    <w:p>
      <w:pPr>
        <w:pStyle w:val="ListParagraph"/>
        <w:numPr>
          <w:ilvl w:val="0"/>
          <w:numId w:val="2"/>
        </w:numPr>
        <w:spacing w:after="80" w:line="290"/>
      </w:pPr>
      <w:r>
        <w:rPr>
          <w:rFonts w:ascii="Arial" w:cs="Arial" w:eastAsia="Arial" w:hAnsi="Arial"/>
          <w:color w:val="1E1E1E"/>
          <w:sz w:val="21"/>
          <w:szCs w:val="21"/>
        </w:rPr>
        <w:t xml:space="preserve">antonovich-design.ae; algedra.ae; accouterdesign.com; spazio.ae; studiomint.ae; hillhouseinteriors.com; euphoriainteriors.com; xenainteriordesign.com; luxedesign.ae; designbyfinch.com — homepage, villa/hospitality, portfolio, case study, contact, pricing/FAQ pages where present (accessed 27 Oct 2026).</w:t>
      </w:r>
    </w:p>
    <w:p>
      <w:pPr>
        <w:pStyle w:val="ListParagraph"/>
        <w:numPr>
          <w:ilvl w:val="0"/>
          <w:numId w:val="2"/>
        </w:numPr>
        <w:spacing w:after="80" w:line="290"/>
      </w:pPr>
      <w:r>
        <w:rPr>
          <w:rFonts w:ascii="Arial" w:cs="Arial" w:eastAsia="Arial" w:hAnsi="Arial"/>
          <w:color w:val="1E1E1E"/>
          <w:sz w:val="21"/>
          <w:szCs w:val="21"/>
        </w:rPr>
        <w:t xml:space="preserve">LinkedIn "similar organisations" for Moori Interiors (Eva Interiors, ELE Interior, H2R Design, Forsite Creative and others) — noted, not profiled.</w:t>
      </w:r>
    </w:p>
    <w:p>
      <w:pPr>
        <w:pStyle w:val="ListParagraph"/>
        <w:numPr>
          <w:ilvl w:val="0"/>
          <w:numId w:val="2"/>
        </w:numPr>
        <w:spacing w:after="80" w:line="290"/>
      </w:pPr>
      <w:r>
        <w:rPr>
          <w:rFonts w:ascii="Arial" w:cs="Arial" w:eastAsia="Arial" w:hAnsi="Arial"/>
          <w:color w:val="1E1E1E"/>
          <w:sz w:val="21"/>
          <w:szCs w:val="21"/>
        </w:rPr>
        <w:t xml:space="preserve">Business Goal Research and ICP &amp; Persona Master Document, Growthmak, 27 Oct 2026.</w:t>
      </w:r>
    </w:p>
    <w:sectPr>
      <w:headerReference w:type="default" r:id="rId6"/>
      <w:footerReference w:type="defaul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6270"/>
        <w:sz w:val="16"/>
        <w:szCs w:val="16"/>
      </w:rPr>
      <w:t xml:space="preserve">v1.0  ·  27 October 2026  ·  Growthmak</w:t>
    </w:r>
    <w:r>
      <w:rPr>
        <w:rFonts w:ascii="Arial" w:cs="Arial" w:eastAsia="Arial" w:hAnsi="Arial"/>
        <w:color w:val="5B62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B" w:sz="4" w:space="4"/>
      </w:pBdr>
      <w:tabs>
        <w:tab w:val="right" w:pos="9746"/>
      </w:tabs>
    </w:pPr>
    <w:r>
      <w:rPr>
        <w:rFonts w:ascii="Arial" w:cs="Arial" w:eastAsia="Arial" w:hAnsi="Arial"/>
        <w:color w:val="5B6270"/>
        <w:sz w:val="16"/>
        <w:szCs w:val="16"/>
      </w:rPr>
      <w:t xml:space="preserve">Moori Interiors  |  Competitor Analysis</w:t>
    </w:r>
    <w:r>
      <w:rPr>
        <w:rFonts w:ascii="Arial" w:cs="Arial" w:eastAsia="Arial" w:hAnsi="Arial"/>
        <w:color w:val="5B627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7A45" w:sz="10" w:space="6"/>
      </w:pBdr>
      <w:spacing w:after="220" w:before="120"/>
      <w:outlineLvl w:val="0"/>
    </w:pPr>
    <w:rPr>
      <w:rFonts w:ascii="Arial" w:cs="Arial" w:eastAsia="Arial" w:hAnsi="Arial"/>
      <w:b/>
      <w:bCs/>
      <w:color w:val="1F2A4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A4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A07A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Competitor Analysis</dc:title>
  <dc:creator>Growthmak</dc:creator>
  <cp:lastModifiedBy>Un-named</cp:lastModifiedBy>
  <cp:revision>1</cp:revision>
  <dcterms:created xsi:type="dcterms:W3CDTF">2026-10-27T16:06:33.031Z</dcterms:created>
  <dcterms:modified xsi:type="dcterms:W3CDTF">2026-10-27T16:06:33.031Z</dcterms:modified>
</cp:coreProperties>
</file>

<file path=docProps/custom.xml><?xml version="1.0" encoding="utf-8"?>
<Properties xmlns="http://schemas.openxmlformats.org/officeDocument/2006/custom-properties" xmlns:vt="http://schemas.openxmlformats.org/officeDocument/2006/docPropsVTypes"/>
</file>