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Pre-Execution Admission Control(PEAC): A Unified Strategy for Mitigating Resource-Exhaustion Attacks in Managed Blockchain Runtimes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qz2vbsb4v2fm" w:id="0"/>
      <w:bookmarkEnd w:id="0"/>
      <w:r w:rsidDel="00000000" w:rsidR="00000000" w:rsidRPr="00000000">
        <w:rPr>
          <w:rFonts w:ascii="Times New Roman" w:cs="Times New Roman" w:eastAsia="Times New Roman" w:hAnsi="Times New Roman"/>
          <w:b w:val="0"/>
          <w:bCs w:val="0"/>
          <w:sz w:val="34"/>
          <w:szCs w:val="34"/>
          <w:rtl w:val="0"/>
        </w:rPr>
        <w:t xml:space="preserve">Abstract</w:t>
      </w:r>
    </w:p>
    <w:p w:rsidR="00000000" w:rsidDel="00000000" w:rsidP="00000000" w:rsidRDefault="00000000" w:rsidRPr="00000000" w14:paraId="0000000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runtimes like the JVM and .NET CLR are increasingly used in blockchain clients for their safety and developer productivity. However, they introduce a novel vulnerability: the Garbage Collection (GC) Conflict. Malicious state-expansion attacks (dust) and "execution bombs" trigger non-deterministic Stop-The-World (STW) pauses, leading to validator jitter or ingestion collapse. We propose Pre-Execution Admission Control, a local defense layer that filters transactions using static features strongly correlated with high-allocation behavior before they enter the managed heap. Our cross-runtime evaluation using Hyperledger Besu (JVM) and Nethermind (.NET CLR) demonstrates that this strategy reduces P99 latency in Besu by 48.5% and prevents the 6.7% ingestion failure rate observed in vanilla Nethermind configurations under stress. This work proves that proactive admission is a critical, consensus-neutral requirement for node resilience in adversarial environments.</w:t>
      </w:r>
    </w:p>
    <w:p w:rsidR="00000000" w:rsidDel="00000000" w:rsidP="00000000" w:rsidRDefault="00000000" w:rsidRPr="00000000" w14:paraId="00000005">
      <w:pPr>
        <w:spacing w:after="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91ecdw1ywx0r" w:id="1"/>
      <w:bookmarkEnd w:id="1"/>
      <w:r w:rsidDel="00000000" w:rsidR="00000000" w:rsidRPr="00000000">
        <w:rPr>
          <w:rFonts w:ascii="Times New Roman" w:cs="Times New Roman" w:eastAsia="Times New Roman" w:hAnsi="Times New Roman"/>
          <w:b w:val="0"/>
          <w:bCs w:val="0"/>
          <w:sz w:val="34"/>
          <w:szCs w:val="34"/>
          <w:rtl w:val="0"/>
        </w:rPr>
        <w:t xml:space="preserve">1. Introduction</w:t>
      </w:r>
    </w:p>
    <w:p w:rsidR="00000000" w:rsidDel="00000000" w:rsidP="00000000" w:rsidRDefault="00000000" w:rsidRPr="00000000" w14:paraId="0000000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of decentralized networks depends on the deterministic performance of individual nodes. While Ethereum’s gas model prices execution steps, it fails to account for the allocation-to-GC overhead—the CPU cycles and memory management pauses required to clean ephemeral objects created during execution.</w:t>
      </w:r>
    </w:p>
    <w:p w:rsidR="00000000" w:rsidDel="00000000" w:rsidP="00000000" w:rsidRDefault="00000000" w:rsidRPr="00000000" w14:paraId="00000008">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managed environments, high allocation rates lead to "Micro-Stuttering," where tail-latency spikes (P99) cause validators to miss block proposals. We argue that current defenses, such as database pruning, are reactive and occur too late in the pipeline to prevent VM-level exhaustion. This paper introduces a unified, local admission policy that identifies "toxic" transactions at the node’s perimeter, shielding the execution engine from allocation-driven Denial-of-Service (DoS).</w:t>
      </w:r>
    </w:p>
    <w:p w:rsidR="00000000" w:rsidDel="00000000" w:rsidP="00000000" w:rsidRDefault="00000000" w:rsidRPr="00000000" w14:paraId="00000009">
      <w:pPr>
        <w:spacing w:after="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jni3tqb41hgf" w:id="2"/>
      <w:bookmarkEnd w:id="2"/>
      <w:r w:rsidDel="00000000" w:rsidR="00000000" w:rsidRPr="00000000">
        <w:rPr>
          <w:rFonts w:ascii="Times New Roman" w:cs="Times New Roman" w:eastAsia="Times New Roman" w:hAnsi="Times New Roman"/>
          <w:b w:val="0"/>
          <w:bCs w:val="0"/>
          <w:sz w:val="34"/>
          <w:szCs w:val="34"/>
          <w:rtl w:val="0"/>
        </w:rPr>
        <w:t xml:space="preserve">2. Background and Threat Model</w:t>
      </w:r>
    </w:p>
    <w:p w:rsidR="00000000" w:rsidDel="00000000" w:rsidP="00000000" w:rsidRDefault="00000000" w:rsidRPr="00000000" w14:paraId="0000000B">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wr424twthhru" w:id="3"/>
      <w:bookmarkEnd w:id="3"/>
      <w:r w:rsidDel="00000000" w:rsidR="00000000" w:rsidRPr="00000000">
        <w:rPr>
          <w:rFonts w:ascii="Times New Roman" w:cs="Times New Roman" w:eastAsia="Times New Roman" w:hAnsi="Times New Roman"/>
          <w:b w:val="0"/>
          <w:bCs w:val="0"/>
          <w:sz w:val="26"/>
          <w:szCs w:val="26"/>
          <w:rtl w:val="0"/>
        </w:rPr>
        <w:t xml:space="preserve">2.1 Managed Runtime Vulnerabilities</w:t>
      </w:r>
    </w:p>
    <w:p w:rsidR="00000000" w:rsidDel="00000000" w:rsidP="00000000" w:rsidRDefault="00000000" w:rsidRPr="00000000" w14:paraId="0000000C">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JVM (Besu): Uses G1GC, which suffers from marking overhead and long pauses when the "Old Generation" fills with state-bloat objects.</w:t>
      </w:r>
    </w:p>
    <w:p w:rsidR="00000000" w:rsidDel="00000000" w:rsidP="00000000" w:rsidRDefault="00000000" w:rsidRPr="00000000" w14:paraId="0000000D">
      <w:pPr>
        <w:numPr>
          <w:ilvl w:val="0"/>
          <w:numId w:val="1"/>
        </w:numPr>
        <w:spacing w:after="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.NET CLR (Nethermind): Vulnerable to Large Object Heap (LOH) fragmentation and expensive Generation 2 collections when processing transactions with large calldata or access lists.</w:t>
      </w:r>
    </w:p>
    <w:p w:rsidR="00000000" w:rsidDel="00000000" w:rsidP="00000000" w:rsidRDefault="00000000" w:rsidRPr="00000000" w14:paraId="0000000E">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3vup27cd8sr" w:id="4"/>
      <w:bookmarkEnd w:id="4"/>
      <w:r w:rsidDel="00000000" w:rsidR="00000000" w:rsidRPr="00000000">
        <w:rPr>
          <w:rFonts w:ascii="Times New Roman" w:cs="Times New Roman" w:eastAsia="Times New Roman" w:hAnsi="Times New Roman"/>
          <w:b w:val="0"/>
          <w:bCs w:val="0"/>
          <w:sz w:val="26"/>
          <w:szCs w:val="26"/>
          <w:rtl w:val="0"/>
        </w:rPr>
        <w:t xml:space="preserve">2.2 Threat Model</w:t>
      </w:r>
    </w:p>
    <w:p w:rsidR="00000000" w:rsidDel="00000000" w:rsidP="00000000" w:rsidRDefault="00000000" w:rsidRPr="00000000" w14:paraId="0000000F">
      <w:pPr>
        <w:numPr>
          <w:ilvl w:val="0"/>
          <w:numId w:val="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Attacker Profile: An adversary floods the node via public JSON-RPC or the P2P gossip network.</w:t>
      </w:r>
    </w:p>
    <w:p w:rsidR="00000000" w:rsidDel="00000000" w:rsidP="00000000" w:rsidRDefault="00000000" w:rsidRPr="00000000" w14:paraId="00000010">
      <w:pPr>
        <w:numPr>
          <w:ilvl w:val="0"/>
          <w:numId w:val="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Attack Vectors: * Execution Bombs: Transactions exhibiting static features (e.g., extreme calldata length) correlated with massive heap allocations.</w:t>
      </w:r>
    </w:p>
    <w:p w:rsidR="00000000" w:rsidDel="00000000" w:rsidP="00000000" w:rsidRDefault="00000000" w:rsidRPr="00000000" w14:paraId="00000011">
      <w:pPr>
        <w:numPr>
          <w:ilvl w:val="1"/>
          <w:numId w:val="4"/>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Dust Attacks: Low-value transactions designed to slowly expand the world state, increasing future GC marking times.</w:t>
      </w:r>
    </w:p>
    <w:p w:rsidR="00000000" w:rsidDel="00000000" w:rsidP="00000000" w:rsidRDefault="00000000" w:rsidRPr="00000000" w14:paraId="00000012">
      <w:pPr>
        <w:numPr>
          <w:ilvl w:val="0"/>
          <w:numId w:val="4"/>
        </w:numPr>
        <w:spacing w:after="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Non-Consensus Constraint: The system operates strictly as a local admission policy; it does not change block validity or network consensus.</w:t>
      </w:r>
    </w:p>
    <w:p w:rsidR="00000000" w:rsidDel="00000000" w:rsidP="00000000" w:rsidRDefault="00000000" w:rsidRPr="00000000" w14:paraId="00000013">
      <w:pPr>
        <w:spacing w:after="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n7cfwo3k8npa" w:id="5"/>
      <w:bookmarkEnd w:id="5"/>
      <w:r w:rsidDel="00000000" w:rsidR="00000000" w:rsidRPr="00000000">
        <w:rPr>
          <w:rFonts w:ascii="Times New Roman" w:cs="Times New Roman" w:eastAsia="Times New Roman" w:hAnsi="Times New Roman"/>
          <w:b w:val="0"/>
          <w:bCs w:val="0"/>
          <w:sz w:val="34"/>
          <w:szCs w:val="34"/>
          <w:rtl w:val="0"/>
        </w:rPr>
        <w:t xml:space="preserve">3. System Model</w:t>
      </w:r>
    </w:p>
    <w:p w:rsidR="00000000" w:rsidDel="00000000" w:rsidP="00000000" w:rsidRDefault="00000000" w:rsidRPr="00000000" w14:paraId="00000015">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jt55d4u0fqm7" w:id="6"/>
      <w:bookmarkEnd w:id="6"/>
      <w:r w:rsidDel="00000000" w:rsidR="00000000" w:rsidRPr="00000000">
        <w:rPr>
          <w:rFonts w:ascii="Times New Roman" w:cs="Times New Roman" w:eastAsia="Times New Roman" w:hAnsi="Times New Roman"/>
          <w:b w:val="0"/>
          <w:bCs w:val="0"/>
          <w:sz w:val="26"/>
          <w:szCs w:val="26"/>
          <w:rtl w:val="0"/>
        </w:rPr>
        <w:t xml:space="preserve">3.1 Architecture</w:t>
      </w:r>
    </w:p>
    <w:p w:rsidR="00000000" w:rsidDel="00000000" w:rsidP="00000000" w:rsidRDefault="00000000" w:rsidRPr="00000000" w14:paraId="00000016">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defense consists of an optional Edge Proxy for initial rejection and an authoritative In-Client Validator that performs the final admission check before mempool inclusion.</w:t>
      </w:r>
    </w:p>
    <w:p w:rsidR="00000000" w:rsidDel="00000000" w:rsidP="00000000" w:rsidRDefault="00000000" w:rsidRPr="00000000" w14:paraId="00000017">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jlqawk2uit0y" w:id="7"/>
      <w:bookmarkEnd w:id="7"/>
      <w:r w:rsidDel="00000000" w:rsidR="00000000" w:rsidRPr="00000000">
        <w:rPr>
          <w:rFonts w:ascii="Times New Roman" w:cs="Times New Roman" w:eastAsia="Times New Roman" w:hAnsi="Times New Roman"/>
          <w:b w:val="0"/>
          <w:bCs w:val="0"/>
          <w:sz w:val="26"/>
          <w:szCs w:val="26"/>
          <w:rtl w:val="0"/>
        </w:rPr>
        <w:t xml:space="preserve">3.2 Risk-Guided Pre-Execution Admission Filter</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 applies a lightweight, pre-execution risk estimation to incoming transactions and rejects transactions whose predicted allocation risk exceeds an operator-defined threshold.</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relying on a single economic heuristic, PEAC combines a small set of static, pre-execution features that are empirically correlated with heap allocation behavior in managed blockchain clients.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Formally, we define an allocation risk score:</w:t>
      </w:r>
    </w:p>
    <w:p w:rsidR="00000000" w:rsidDel="00000000" w:rsidP="00000000" w:rsidRDefault="00000000" w:rsidRPr="00000000" w14:paraId="0000001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alloc</m:t>
            </m:r>
          </m:sub>
        </m:sSub>
        <m:r>
          <w:rPr>
            <w:rFonts w:ascii="Times New Roman" w:cs="Times New Roman" w:eastAsia="Times New Roman" w:hAnsi="Times New Roman"/>
          </w:rPr>
          <m:t xml:space="preserve">(tx)=</m:t>
        </m:r>
        <m:sSup>
          <m:sSupPr>
            <m:ctrlPr>
              <w:rPr>
                <w:rFonts w:ascii="Times New Roman" w:cs="Times New Roman" w:eastAsia="Times New Roman" w:hAnsi="Times New Roman"/>
              </w:rPr>
            </m:ctrlPr>
          </m:sSupPr>
          <m:e>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(tx)</m:t>
            </m:r>
          </m:e>
          <m:sup/>
        </m:sSup>
      </m:oMath>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f</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(tx)</m:t>
        </m:r>
      </m:oMath>
      <w:r w:rsidDel="00000000" w:rsidR="00000000" w:rsidRPr="00000000">
        <w:rPr>
          <w:rFonts w:ascii="Times New Roman" w:cs="Times New Roman" w:eastAsia="Times New Roman" w:hAnsi="Times New Roman"/>
          <w:rtl w:val="0"/>
        </w:rPr>
        <w:t xml:space="preserve"> are normalized static features extracted from the transaction, and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w</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are empirically derived weights obtained from offline profiling.</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transaction is rejected if:</w:t>
      </w:r>
    </w:p>
    <w:p w:rsidR="00000000" w:rsidDel="00000000" w:rsidP="00000000" w:rsidRDefault="00000000" w:rsidRPr="00000000" w14:paraId="0000001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alloc</m:t>
            </m:r>
          </m:sub>
        </m:sSub>
        <m:r>
          <w:rPr>
            <w:rFonts w:ascii="Times New Roman" w:cs="Times New Roman" w:eastAsia="Times New Roman" w:hAnsi="Times New Roman"/>
          </w:rPr>
          <m:t xml:space="preserve">(tx)&gt;𝜃</m:t>
        </m:r>
      </m:oMath>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r>
          <w:rPr>
            <w:rFonts w:ascii="Times New Roman" w:cs="Times New Roman" w:eastAsia="Times New Roman" w:hAnsi="Times New Roman"/>
          </w:rPr>
          <m:t xml:space="preserve">𝜃</m:t>
        </m:r>
      </m:oMath>
      <w:r w:rsidDel="00000000" w:rsidR="00000000" w:rsidRPr="00000000">
        <w:rPr>
          <w:rFonts w:ascii="Times New Roman" w:cs="Times New Roman" w:eastAsia="Times New Roman" w:hAnsi="Times New Roman"/>
          <w:rtl w:val="0"/>
        </w:rPr>
        <w:t xml:space="preserve"> is an operator-configured risk tolerance threshold.</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sanity signal</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pathological cases in which extremely high computational and memory pressure is generated by economically negligible transactions, PEAC additionally applies an auxiliary economic sanity signal:</w:t>
      </w:r>
    </w:p>
    <w:p w:rsidR="00000000" w:rsidDel="00000000" w:rsidP="00000000" w:rsidRDefault="00000000" w:rsidRPr="00000000" w14:paraId="0000002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gv</m:t>
            </m:r>
          </m:sub>
        </m:sSub>
        <m:r>
          <w:rPr>
            <w:rFonts w:ascii="Times New Roman" w:cs="Times New Roman" w:eastAsia="Times New Roman" w:hAnsi="Times New Roman"/>
          </w:rPr>
          <m:t xml:space="preserve">(tx)=</m:t>
        </m:r>
        <m:f>
          <m:fPr>
            <m:ctrlPr>
              <w:rPr>
                <w:rFonts w:ascii="Arial" w:cs="Arial" w:eastAsia="Arial" w:hAnsi="Arial"/>
                <w:color w:val="222222"/>
                <w:highlight w:val="white"/>
              </w:rPr>
            </m:ctrlPr>
          </m:fPr>
          <m:num>
            <m:r>
              <w:rPr>
                <w:rFonts w:ascii="Times New Roman" w:cs="Times New Roman" w:eastAsia="Times New Roman" w:hAnsi="Times New Roman"/>
              </w:rPr>
              <m:t xml:space="preserve">Gas(tx)</m:t>
            </m:r>
          </m:num>
          <m:den>
            <m:r>
              <w:rPr>
                <w:rFonts w:ascii="Times New Roman" w:cs="Times New Roman" w:eastAsia="Times New Roman" w:hAnsi="Times New Roman"/>
              </w:rPr>
              <m:t xml:space="preserve">Value(tx)+</m:t>
            </m:r>
            <m:r>
              <w:rPr>
                <w:rFonts w:ascii="Arial" w:cs="Arial" w:eastAsia="Arial" w:hAnsi="Arial"/>
                <w:color w:val="222222"/>
                <w:highlight w:val="white"/>
              </w:rPr>
              <m:t xml:space="preserve">ϵ</m:t>
            </m:r>
          </m:den>
        </m:f>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transaction is flagged if:</w:t>
      </w:r>
    </w:p>
    <w:p w:rsidR="00000000" w:rsidDel="00000000" w:rsidP="00000000" w:rsidRDefault="00000000" w:rsidRPr="00000000" w14:paraId="0000002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gv</m:t>
            </m:r>
          </m:sub>
        </m:sSub>
        <m:r>
          <w:rPr>
            <w:rFonts w:ascii="Times New Roman" w:cs="Times New Roman" w:eastAsia="Times New Roman" w:hAnsi="Times New Roman"/>
          </w:rPr>
          <m:t xml:space="preserve">(tx)&gt;𝜏</m:t>
        </m:r>
      </m:oMath>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color w:val="222222"/>
          <w:highlight w:val="white"/>
          <w:rtl w:val="0"/>
        </w:rPr>
        <w:t xml:space="preserve">ϵ</w:t>
      </w:r>
      <w:r w:rsidDel="00000000" w:rsidR="00000000" w:rsidRPr="00000000">
        <w:rPr>
          <w:rFonts w:ascii="Arial" w:cs="Arial" w:eastAsia="Arial" w:hAnsi="Arial"/>
          <w:color w:val="222222"/>
          <w:highlight w:val="white"/>
          <w:rtl w:val="0"/>
        </w:rPr>
        <w:t xml:space="preserve"> </w:t>
      </w:r>
      <w:r w:rsidDel="00000000" w:rsidR="00000000" w:rsidRPr="00000000">
        <w:rPr>
          <w:rFonts w:ascii="Times New Roman" w:cs="Times New Roman" w:eastAsia="Times New Roman" w:hAnsi="Times New Roman"/>
          <w:color w:val="222222"/>
          <w:highlight w:val="white"/>
          <w:rtl w:val="0"/>
        </w:rPr>
        <w:t xml:space="preserve">avoids division by zero and </w:t>
      </w:r>
      <m:oMath>
        <m:r>
          <w:rPr>
            <w:rFonts w:ascii="Times New Roman" w:cs="Times New Roman" w:eastAsia="Times New Roman" w:hAnsi="Times New Roman"/>
          </w:rPr>
          <m:t xml:space="preserve">𝜏</m:t>
        </m:r>
      </m:oMath>
      <w:r w:rsidDel="00000000" w:rsidR="00000000" w:rsidRPr="00000000">
        <w:rPr>
          <w:rFonts w:ascii="Times New Roman" w:cs="Times New Roman" w:eastAsia="Times New Roman" w:hAnsi="Times New Roman"/>
          <w:rtl w:val="0"/>
        </w:rPr>
        <w:t xml:space="preserve"> is an operator-configured threshold.</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Importantly,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gv</m:t>
            </m:r>
          </m:sub>
        </m:sSub>
      </m:oMath>
      <w:r w:rsidDel="00000000" w:rsidR="00000000" w:rsidRPr="00000000">
        <w:rPr>
          <w:rFonts w:ascii="Times New Roman" w:cs="Times New Roman" w:eastAsia="Times New Roman" w:hAnsi="Times New Roman"/>
          <w:rtl w:val="0"/>
        </w:rPr>
        <w:t xml:space="preserve"> is not used as a standalone rejection criterion. Instead, it is used as a secondary signal to increase the final score for transactions that exhibit both high predicted allocation risk and a disproportionately small economic footprint.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explicitly acknowledges that high-gas, low-value transactions are common in legitimate smart contract interactions, and therefore economic indicators alone are insufficient for adversarial classification.</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Whitelisting and safety constraints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avoid false positives for protocol-critical components, PEAC supports an operator-configured whitelist of contract addresses(e.g., governance contracts, oracle feeds, and rollup bridges). Transactions targeting whitelisted addresses bypass the economic sanity signal but remain subject to the static allocation risk filter. This ensures that operational safety is preserved while maintaining protection against allocation-driven denial-of-service patterns.</w:t>
      </w:r>
      <w:r w:rsidDel="00000000" w:rsidR="00000000" w:rsidRPr="00000000">
        <w:rPr>
          <w:rtl w:val="0"/>
        </w:rPr>
      </w:r>
    </w:p>
    <w:p w:rsidR="00000000" w:rsidDel="00000000" w:rsidP="00000000" w:rsidRDefault="00000000" w:rsidRPr="00000000" w14:paraId="0000002C">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7g3ck69gt9z2" w:id="8"/>
      <w:bookmarkEnd w:id="8"/>
      <w:r w:rsidDel="00000000" w:rsidR="00000000" w:rsidRPr="00000000">
        <w:rPr>
          <w:rFonts w:ascii="Times New Roman" w:cs="Times New Roman" w:eastAsia="Times New Roman" w:hAnsi="Times New Roman"/>
          <w:b w:val="0"/>
          <w:bCs w:val="0"/>
          <w:sz w:val="26"/>
          <w:szCs w:val="26"/>
          <w:rtl w:val="0"/>
        </w:rPr>
        <w:t xml:space="preserve">3.3 Static Allocation Feature Vector</w:t>
      </w:r>
    </w:p>
    <w:p w:rsidR="00000000" w:rsidDel="00000000" w:rsidP="00000000" w:rsidRDefault="00000000" w:rsidRPr="00000000" w14:paraId="0000002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 relies exclusively on features that can be extracted without executing the transaction or modifying consensus semantics.</w:t>
      </w:r>
    </w:p>
    <w:p w:rsidR="00000000" w:rsidDel="00000000" w:rsidP="00000000" w:rsidRDefault="00000000" w:rsidRPr="00000000" w14:paraId="0000002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static allocation feature vector:</w:t>
      </w:r>
    </w:p>
    <w:p w:rsidR="00000000" w:rsidDel="00000000" w:rsidP="00000000" w:rsidRDefault="00000000" w:rsidRPr="00000000" w14:paraId="0000002F">
      <w:pPr>
        <w:spacing w:after="240" w:line="276"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F(tx)=[calldata₋len, gas₋limit, access₋list₋size, is₋contract₋creation]</m:t>
        </m:r>
      </m:oMath>
      <w:r w:rsidDel="00000000" w:rsidR="00000000" w:rsidRPr="00000000">
        <w:rPr>
          <w:rtl w:val="0"/>
        </w:rPr>
      </w:r>
    </w:p>
    <w:p w:rsidR="00000000" w:rsidDel="00000000" w:rsidP="00000000" w:rsidRDefault="00000000" w:rsidRPr="00000000" w14:paraId="00000030">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were selected based on empirical correlation with allocation volume and GC pressure observed in both Hyperledger Besu and Nethermind.</w:t>
      </w:r>
    </w:p>
    <w:p w:rsidR="00000000" w:rsidDel="00000000" w:rsidP="00000000" w:rsidRDefault="00000000" w:rsidRPr="00000000" w14:paraId="00000031">
      <w:pPr>
        <w:spacing w:after="24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rationale</w:t>
      </w:r>
    </w:p>
    <w:p w:rsidR="00000000" w:rsidDel="00000000" w:rsidP="00000000" w:rsidRDefault="00000000" w:rsidRPr="00000000" w14:paraId="00000033">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calldata_len.</w:t>
      </w:r>
    </w:p>
    <w:p w:rsidR="00000000" w:rsidDel="00000000" w:rsidP="00000000" w:rsidRDefault="00000000" w:rsidRPr="00000000" w14:paraId="00000034">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calldata directly increases decoding overhead, transient buffer allocation, and parameter materialization costs in both clients. Profiling shows a strong positive correlation between calldata length and short-lived allocation volume in the execution and ABI decoding paths.</w:t>
      </w:r>
    </w:p>
    <w:p w:rsidR="00000000" w:rsidDel="00000000" w:rsidP="00000000" w:rsidRDefault="00000000" w:rsidRPr="00000000" w14:paraId="00000035">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gas_limit.</w:t>
      </w:r>
    </w:p>
    <w:p w:rsidR="00000000" w:rsidDel="00000000" w:rsidP="00000000" w:rsidRDefault="00000000" w:rsidRPr="00000000" w14:paraId="00000036">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gas is a protocol-level execution bound, it is also a practical upper bound on the size and complexity of the execution trace. Higher gas limits correlate with deeper execution paths and larger transient object graphs in managed runtimes.</w:t>
      </w:r>
    </w:p>
    <w:p w:rsidR="00000000" w:rsidDel="00000000" w:rsidP="00000000" w:rsidRDefault="00000000" w:rsidRPr="00000000" w14:paraId="00000037">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access_list_size.</w:t>
      </w:r>
    </w:p>
    <w:p w:rsidR="00000000" w:rsidDel="00000000" w:rsidP="00000000" w:rsidRDefault="00000000" w:rsidRPr="00000000" w14:paraId="00000038">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access lists induce additional state prefetching, caching, and temporary state view construction, increasing allocation pressure in state access and caching subsystems.</w:t>
      </w:r>
    </w:p>
    <w:p w:rsidR="00000000" w:rsidDel="00000000" w:rsidP="00000000" w:rsidRDefault="00000000" w:rsidRPr="00000000" w14:paraId="00000039">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is_contract_creation.</w:t>
      </w:r>
    </w:p>
    <w:p w:rsidR="00000000" w:rsidDel="00000000" w:rsidP="00000000" w:rsidRDefault="00000000" w:rsidRPr="00000000" w14:paraId="0000003A">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creation triggers bytecode deployment, constructor execution, and metadata generation, which collectively exhibit a significantly higher allocation footprint than ordinary message calls.</w:t>
      </w:r>
    </w:p>
    <w:p w:rsidR="00000000" w:rsidDel="00000000" w:rsidP="00000000" w:rsidRDefault="00000000" w:rsidRPr="00000000" w14:paraId="0000003B">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Motivation for a multi-dimensional filter</w:t>
      </w:r>
    </w:p>
    <w:p w:rsidR="00000000" w:rsidDel="00000000" w:rsidP="00000000" w:rsidRDefault="00000000" w:rsidRPr="00000000" w14:paraId="0000003C">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single-dimensional threshold(e.g., calldata length or gas limit alone) is insufficient to capture allocation-driven attack patterns. Adversaries can easily evade such defenses by distributing pressure across multiple transaction fields. </w:t>
      </w:r>
    </w:p>
    <w:p w:rsidR="00000000" w:rsidDel="00000000" w:rsidP="00000000" w:rsidRDefault="00000000" w:rsidRPr="00000000" w14:paraId="0000003D">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multiple static indicators, PEAC approximates the allocation risk surface observed in real execution traces while preserving consensus neutrality and avoiding any form of speculative execution.</w:t>
      </w:r>
    </w:p>
    <w:p w:rsidR="00000000" w:rsidDel="00000000" w:rsidP="00000000" w:rsidRDefault="00000000" w:rsidRPr="00000000" w14:paraId="0000003E">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 calibration</w:t>
      </w:r>
    </w:p>
    <w:p w:rsidR="00000000" w:rsidDel="00000000" w:rsidP="00000000" w:rsidRDefault="00000000" w:rsidRPr="00000000" w14:paraId="0000003F">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weights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are derived through offline profiling runs in which per-transaction heap allocation volume and GC time are recorded under controlled workloads.</w:t>
      </w:r>
    </w:p>
    <w:p w:rsidR="00000000" w:rsidDel="00000000" w:rsidP="00000000" w:rsidRDefault="00000000" w:rsidRPr="00000000" w14:paraId="00000040">
      <w:pPr>
        <w:spacing w:after="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both clients, weights are fitted using linear regression against observed allocated bytes per transaction. We intentionally restrict the model to a linear form to minimize runtime overhead and to ensure transparent, operator-auditable behavior.</w:t>
      </w:r>
    </w:p>
    <w:p w:rsidR="00000000" w:rsidDel="00000000" w:rsidP="00000000" w:rsidRDefault="00000000" w:rsidRPr="00000000" w14:paraId="00000041">
      <w:pPr>
        <w:spacing w:after="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u7ea6fwaruo6" w:id="9"/>
      <w:bookmarkEnd w:id="9"/>
      <w:r w:rsidDel="00000000" w:rsidR="00000000" w:rsidRPr="00000000">
        <w:rPr>
          <w:rFonts w:ascii="Times New Roman" w:cs="Times New Roman" w:eastAsia="Times New Roman" w:hAnsi="Times New Roman"/>
          <w:b w:val="0"/>
          <w:bCs w:val="0"/>
          <w:sz w:val="34"/>
          <w:szCs w:val="34"/>
          <w:rtl w:val="0"/>
        </w:rPr>
        <w:t xml:space="preserve">4. Evaluation</w:t>
      </w:r>
    </w:p>
    <w:p w:rsidR="00000000" w:rsidDel="00000000" w:rsidP="00000000" w:rsidRDefault="00000000" w:rsidRPr="00000000" w14:paraId="00000043">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dn53ycojadm3" w:id="10"/>
      <w:bookmarkEnd w:id="10"/>
      <w:r w:rsidDel="00000000" w:rsidR="00000000" w:rsidRPr="00000000">
        <w:rPr>
          <w:rFonts w:ascii="Times New Roman" w:cs="Times New Roman" w:eastAsia="Times New Roman" w:hAnsi="Times New Roman"/>
          <w:b w:val="0"/>
          <w:bCs w:val="0"/>
          <w:sz w:val="26"/>
          <w:szCs w:val="26"/>
          <w:rtl w:val="0"/>
        </w:rPr>
        <w:t xml:space="preserve">4.1 Methodology</w:t>
      </w:r>
    </w:p>
    <w:p w:rsidR="00000000" w:rsidDel="00000000" w:rsidP="00000000" w:rsidRDefault="00000000" w:rsidRPr="00000000" w14:paraId="00000044">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were conducted with a workload of 5,000 transactions at a steady 10 tx/sec to ensure identical pressure across configurations.</w:t>
      </w:r>
    </w:p>
    <w:p w:rsidR="00000000" w:rsidDel="00000000" w:rsidP="00000000" w:rsidRDefault="00000000" w:rsidRPr="00000000" w14:paraId="00000045">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6ttlcctmh3mf" w:id="11"/>
      <w:bookmarkEnd w:id="11"/>
      <w:r w:rsidDel="00000000" w:rsidR="00000000" w:rsidRPr="00000000">
        <w:rPr>
          <w:rFonts w:ascii="Times New Roman" w:cs="Times New Roman" w:eastAsia="Times New Roman" w:hAnsi="Times New Roman"/>
          <w:b w:val="0"/>
          <w:bCs w:val="0"/>
          <w:sz w:val="26"/>
          <w:szCs w:val="26"/>
          <w:rtl w:val="0"/>
        </w:rPr>
        <w:t xml:space="preserve">4.2 Besu Results (Stability)</w:t>
      </w:r>
    </w:p>
    <w:p w:rsidR="00000000" w:rsidDel="00000000" w:rsidP="00000000" w:rsidRDefault="00000000" w:rsidRPr="00000000" w14:paraId="00000046">
      <w:pPr>
        <w:numPr>
          <w:ilvl w:val="0"/>
          <w:numId w:val="3"/>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Latency Win: P99 pause time dropped from 58.07 ms to 29.89 ms.</w:t>
      </w:r>
    </w:p>
    <w:p w:rsidR="00000000" w:rsidDel="00000000" w:rsidP="00000000" w:rsidRDefault="00000000" w:rsidRPr="00000000" w14:paraId="00000047">
      <w:pPr>
        <w:numPr>
          <w:ilvl w:val="0"/>
          <w:numId w:val="3"/>
        </w:numPr>
        <w:spacing w:after="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Causal Link: "Time in GC" decreased from 0.18% to 0.05%, proving that the latency reduction is a direct result of lower heap pressure.</w:t>
      </w:r>
    </w:p>
    <w:p w:rsidR="00000000" w:rsidDel="00000000" w:rsidP="00000000" w:rsidRDefault="00000000" w:rsidRPr="00000000" w14:paraId="00000048">
      <w:pPr>
        <w:pStyle w:val="Heading3"/>
        <w:keepNext w:val="0"/>
        <w:keepLines w:val="0"/>
        <w:spacing w:before="0" w:line="276" w:lineRule="auto"/>
        <w:ind w:left="720" w:hanging="360"/>
        <w:rPr>
          <w:rFonts w:ascii="Times New Roman" w:cs="Times New Roman" w:eastAsia="Times New Roman" w:hAnsi="Times New Roman"/>
          <w:b w:val="0"/>
          <w:bCs w:val="0"/>
          <w:sz w:val="26"/>
          <w:szCs w:val="26"/>
        </w:rPr>
      </w:pPr>
      <w:bookmarkStart w:colFirst="0" w:colLast="0" w:name="_heading=h.p78ji32hefp8" w:id="12"/>
      <w:bookmarkEnd w:id="12"/>
      <w:r w:rsidDel="00000000" w:rsidR="00000000" w:rsidRPr="00000000">
        <w:rPr>
          <w:rFonts w:ascii="Times New Roman" w:cs="Times New Roman" w:eastAsia="Times New Roman" w:hAnsi="Times New Roman"/>
          <w:b w:val="0"/>
          <w:bCs w:val="0"/>
          <w:sz w:val="26"/>
          <w:szCs w:val="26"/>
          <w:rtl w:val="0"/>
        </w:rPr>
        <w:t xml:space="preserve">4.3 Nethermind Results (Availability)</w:t>
      </w:r>
    </w:p>
    <w:p w:rsidR="00000000" w:rsidDel="00000000" w:rsidP="00000000" w:rsidRDefault="00000000" w:rsidRPr="00000000" w14:paraId="00000049">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Availability Win: Prevented the 6.7% queue overflow failure rate (337 out of 5,000 txs) seen in vanilla runs.</w:t>
      </w:r>
    </w:p>
    <w:p w:rsidR="00000000" w:rsidDel="00000000" w:rsidP="00000000" w:rsidRDefault="00000000" w:rsidRPr="00000000" w14:paraId="0000004A">
      <w:pPr>
        <w:numPr>
          <w:ilvl w:val="0"/>
          <w:numId w:val="2"/>
        </w:numPr>
        <w:spacing w:after="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Memory Integrity: </w:t>
      </w:r>
      <w:r w:rsidDel="00000000" w:rsidR="00000000" w:rsidRPr="00000000">
        <w:rPr>
          <w:rFonts w:ascii="Times New Roman" w:cs="Times New Roman" w:eastAsia="Times New Roman" w:hAnsi="Times New Roman"/>
          <w:sz w:val="24"/>
          <w:szCs w:val="24"/>
          <w:rtl w:val="0"/>
        </w:rPr>
        <w:t xml:space="preserve">dotnet-trace</w:t>
      </w:r>
      <w:r w:rsidDel="00000000" w:rsidR="00000000" w:rsidRPr="00000000">
        <w:rPr>
          <w:rFonts w:ascii="Times New Roman" w:cs="Times New Roman" w:eastAsia="Times New Roman" w:hAnsi="Times New Roman"/>
          <w:sz w:val="24"/>
          <w:szCs w:val="24"/>
          <w:rtl w:val="0"/>
        </w:rPr>
        <w:t xml:space="preserve"> confirmed the complete elimination of expensive Generation 2 and LOH collections during the attack.</w:t>
      </w:r>
    </w:p>
    <w:p w:rsidR="00000000" w:rsidDel="00000000" w:rsidP="00000000" w:rsidRDefault="00000000" w:rsidRPr="00000000" w14:paraId="0000004B">
      <w:pPr>
        <w:spacing w:after="240" w:line="276"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before="0" w:line="276" w:lineRule="auto"/>
        <w:ind w:left="720" w:hanging="360"/>
        <w:rPr>
          <w:rFonts w:ascii="Times New Roman" w:cs="Times New Roman" w:eastAsia="Times New Roman" w:hAnsi="Times New Roman"/>
          <w:b w:val="0"/>
          <w:bCs w:val="0"/>
          <w:sz w:val="34"/>
          <w:szCs w:val="34"/>
        </w:rPr>
      </w:pPr>
      <w:bookmarkStart w:colFirst="0" w:colLast="0" w:name="_heading=h.4fum531d4ei3" w:id="13"/>
      <w:bookmarkEnd w:id="13"/>
      <w:r w:rsidDel="00000000" w:rsidR="00000000" w:rsidRPr="00000000">
        <w:rPr>
          <w:rFonts w:ascii="Times New Roman" w:cs="Times New Roman" w:eastAsia="Times New Roman" w:hAnsi="Times New Roman"/>
          <w:b w:val="0"/>
          <w:bCs w:val="0"/>
          <w:sz w:val="34"/>
          <w:szCs w:val="34"/>
          <w:rtl w:val="0"/>
        </w:rPr>
        <w:t xml:space="preserve">5. Discussion</w:t>
      </w:r>
    </w:p>
    <w:p w:rsidR="00000000" w:rsidDel="00000000" w:rsidP="00000000" w:rsidRDefault="00000000" w:rsidRPr="00000000" w14:paraId="0000004D">
      <w:pPr>
        <w:numPr>
          <w:ilvl w:val="0"/>
          <w:numId w:val="5"/>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Admission Overhead: The CPU cost of pre-execution filtering is negligible compared to the "Stop-The-World" penalties of post-execution management.</w:t>
      </w:r>
    </w:p>
    <w:p w:rsidR="00000000" w:rsidDel="00000000" w:rsidP="00000000" w:rsidRDefault="00000000" w:rsidRPr="00000000" w14:paraId="0000004E">
      <w:pPr>
        <w:numPr>
          <w:ilvl w:val="0"/>
          <w:numId w:val="5"/>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MEV and Proposer Duties: We acknowledge that local rejection may reduce a proposer's MEV candidate pool. We recommend that operators selectively toggle filtering during high-value block construction phases.</w:t>
      </w:r>
    </w:p>
    <w:p w:rsidR="00000000" w:rsidDel="00000000" w:rsidP="00000000" w:rsidRDefault="00000000" w:rsidRPr="00000000" w14:paraId="0000004F">
      <w:pPr>
        <w:numPr>
          <w:ilvl w:val="0"/>
          <w:numId w:val="5"/>
        </w:numPr>
        <w:spacing w:after="240" w:line="276"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Limitations: Our approach relies on coarse-grained static indicators and cannot prevent all forms of resource abuse that require dynamic execution paths to detect.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B86454"/>
    <w:pPr>
      <w:ind w:left="720"/>
      <w:contextualSpacing w:val="1"/>
    </w:pPr>
  </w:style>
  <w:style w:type="character" w:styleId="a4">
    <w:name w:val="Placeholder Text"/>
    <w:basedOn w:val="a0"/>
    <w:uiPriority w:val="99"/>
    <w:semiHidden w:val="1"/>
    <w:rsid w:val="00B86454"/>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2kaSTdXdslNUw3ckIPJcFkN8Q==">CgMxLjAyDmgucXoydmJzYjR2MmZtMg5oLjkxZWNkdzF5d3gwcjIOaC5qbmkzdHFiNDFoZ2YyDmgud3I0MjR0d3RoaHJ1Mg1oLjN2dXAyN2NkOHNyMg5oLm43Y2Z3bzNrOG5wYTIOaC5qdDU1ZDR1MGZxbTcyDmguamxxYXdrMnVpdDB5Mg5oLjdnM2NrNjlndDl6MjIOaC51N2VhNmZ3YXJ1bzYyDmguZG41M3ljb2phZG0zMg5oLjZ0dGxjY3RtaDNtZjIOaC5wNzhqaTMyaGVmcDgyDmguNGZ1bTUzMWQ0ZWkzOAByITE3YnVFTjNieS0teUFfT3NTVkw5QlNJVHJKZ0h3ZE5B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2026-02-11T06:06:00Z</dcterms:created>
  <dc:creator>yeochan</dc:creator>
</cp:coreProperties>
</file>