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5EE3" w14:textId="77777777" w:rsidR="009B2284" w:rsidRDefault="00000000">
      <w:pPr>
        <w:pStyle w:val="Title"/>
        <w:spacing w:after="80"/>
        <w:jc w:val="center"/>
      </w:pPr>
      <w:r>
        <w:t>GPT-2 (</w:t>
      </w:r>
      <w:proofErr w:type="spellStart"/>
      <w:r>
        <w:t>nanoGPT</w:t>
      </w:r>
      <w:proofErr w:type="spellEnd"/>
      <w:r>
        <w:t>) vs. the Original Encoder-Decoder Transformer</w:t>
      </w:r>
    </w:p>
    <w:p w14:paraId="1E454703" w14:textId="77777777" w:rsidR="009B2284" w:rsidRDefault="00000000">
      <w:pPr>
        <w:pStyle w:val="Heading1"/>
        <w:spacing w:before="300" w:after="150"/>
      </w:pPr>
      <w:r>
        <w:t>1. Two different jobs</w:t>
      </w:r>
    </w:p>
    <w:p w14:paraId="62C1F443" w14:textId="77777777" w:rsidR="009B2284" w:rsidRDefault="00000000">
      <w:pPr>
        <w:spacing w:after="200" w:line="300" w:lineRule="auto"/>
      </w:pPr>
      <w:r>
        <w:rPr>
          <w:sz w:val="22"/>
          <w:szCs w:val="22"/>
        </w:rPr>
        <w:t>The original Transformer was built for machine translation: given a full source sentence, produce a full target sentence in another language. That task naturally splits into two halves that need to talk to each other, so the paper defines an encoder that reads the entire source sequence at once and a decoder that generates the target sequence one token at a time while consulting the encoder's output.</w:t>
      </w:r>
    </w:p>
    <w:p w14:paraId="45C494B1" w14:textId="77777777" w:rsidR="009B2284" w:rsidRDefault="00000000">
      <w:pPr>
        <w:spacing w:after="200" w:line="300" w:lineRule="auto"/>
      </w:pPr>
      <w:r>
        <w:rPr>
          <w:sz w:val="22"/>
          <w:szCs w:val="22"/>
        </w:rPr>
        <w:t xml:space="preserve">GPT-2 is built for a single job: predict the next token given everything that came before it. There is no second sequence to translate into and nothing to encode separately. </w:t>
      </w:r>
      <w:proofErr w:type="spellStart"/>
      <w:r>
        <w:rPr>
          <w:sz w:val="22"/>
          <w:szCs w:val="22"/>
        </w:rPr>
        <w:t>Karpathy's</w:t>
      </w:r>
      <w:proofErr w:type="spellEnd"/>
      <w:r>
        <w:rPr>
          <w:sz w:val="22"/>
          <w:szCs w:val="22"/>
        </w:rPr>
        <w:t xml:space="preserve"> </w:t>
      </w:r>
      <w:proofErr w:type="spellStart"/>
      <w:r>
        <w:rPr>
          <w:sz w:val="22"/>
          <w:szCs w:val="22"/>
        </w:rPr>
        <w:t>nanoGPT</w:t>
      </w:r>
      <w:proofErr w:type="spellEnd"/>
      <w:r>
        <w:rPr>
          <w:sz w:val="22"/>
          <w:szCs w:val="22"/>
        </w:rPr>
        <w:t>, a compact and faithful reimplementation of GPT-2, reflects this directly in code — there is one stack of blocks, not two, and no cross-attention module anywhere in model.py. Removing the encoder is not a simplification of the original design; it is a consequence of the task being different.</w:t>
      </w:r>
    </w:p>
    <w:p w14:paraId="218928CA" w14:textId="77777777" w:rsidR="009B2284" w:rsidRDefault="00000000">
      <w:pPr>
        <w:pStyle w:val="Heading1"/>
        <w:spacing w:before="300" w:after="150"/>
      </w:pPr>
      <w:r>
        <w:t>2. Architectural differences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9B2284" w14:paraId="404974F7" w14:textId="77777777">
        <w:tblPrEx>
          <w:tblCellMar>
            <w:top w:w="0" w:type="dxa"/>
            <w:bottom w:w="0" w:type="dxa"/>
          </w:tblCellMar>
        </w:tblPrEx>
        <w:tc>
          <w:tcPr>
            <w:tcW w:w="2400" w:type="dxa"/>
            <w:shd w:val="clear" w:color="auto" w:fill="2E4057"/>
            <w:tcMar>
              <w:top w:w="100" w:type="dxa"/>
              <w:left w:w="120" w:type="dxa"/>
              <w:bottom w:w="100" w:type="dxa"/>
              <w:right w:w="120" w:type="dxa"/>
            </w:tcMar>
          </w:tcPr>
          <w:p w14:paraId="25EE82BC" w14:textId="77777777" w:rsidR="009B2284" w:rsidRDefault="00000000">
            <w:r>
              <w:rPr>
                <w:b/>
                <w:bCs/>
                <w:color w:val="FFFFFF"/>
              </w:rPr>
              <w:t>Aspect</w:t>
            </w:r>
          </w:p>
        </w:tc>
        <w:tc>
          <w:tcPr>
            <w:tcW w:w="3480" w:type="dxa"/>
            <w:shd w:val="clear" w:color="auto" w:fill="2E4057"/>
            <w:tcMar>
              <w:top w:w="100" w:type="dxa"/>
              <w:left w:w="120" w:type="dxa"/>
              <w:bottom w:w="100" w:type="dxa"/>
              <w:right w:w="120" w:type="dxa"/>
            </w:tcMar>
          </w:tcPr>
          <w:p w14:paraId="4A1A265C" w14:textId="77777777" w:rsidR="009B2284" w:rsidRDefault="00000000">
            <w:r>
              <w:rPr>
                <w:b/>
                <w:bCs/>
                <w:color w:val="FFFFFF"/>
              </w:rPr>
              <w:t>Original Transformer (2017)</w:t>
            </w:r>
          </w:p>
        </w:tc>
        <w:tc>
          <w:tcPr>
            <w:tcW w:w="3480" w:type="dxa"/>
            <w:shd w:val="clear" w:color="auto" w:fill="2E4057"/>
            <w:tcMar>
              <w:top w:w="100" w:type="dxa"/>
              <w:left w:w="120" w:type="dxa"/>
              <w:bottom w:w="100" w:type="dxa"/>
              <w:right w:w="120" w:type="dxa"/>
            </w:tcMar>
          </w:tcPr>
          <w:p w14:paraId="683E7CDF" w14:textId="77777777" w:rsidR="009B2284" w:rsidRDefault="00000000">
            <w:r>
              <w:rPr>
                <w:b/>
                <w:bCs/>
                <w:color w:val="FFFFFF"/>
              </w:rPr>
              <w:t xml:space="preserve">GPT-2 / </w:t>
            </w:r>
            <w:proofErr w:type="spellStart"/>
            <w:r>
              <w:rPr>
                <w:b/>
                <w:bCs/>
                <w:color w:val="FFFFFF"/>
              </w:rPr>
              <w:t>nanoGPT</w:t>
            </w:r>
            <w:proofErr w:type="spellEnd"/>
          </w:p>
        </w:tc>
      </w:tr>
      <w:tr w:rsidR="009B2284" w14:paraId="0ECC8689" w14:textId="77777777">
        <w:tblPrEx>
          <w:tblCellMar>
            <w:top w:w="0" w:type="dxa"/>
            <w:bottom w:w="0" w:type="dxa"/>
          </w:tblCellMar>
        </w:tblPrEx>
        <w:tc>
          <w:tcPr>
            <w:tcW w:w="2400" w:type="dxa"/>
            <w:tcMar>
              <w:top w:w="100" w:type="dxa"/>
              <w:left w:w="120" w:type="dxa"/>
              <w:bottom w:w="100" w:type="dxa"/>
              <w:right w:w="120" w:type="dxa"/>
            </w:tcMar>
          </w:tcPr>
          <w:p w14:paraId="5D190E88" w14:textId="77777777" w:rsidR="009B2284" w:rsidRDefault="00000000">
            <w:r>
              <w:t>Overall shape</w:t>
            </w:r>
          </w:p>
        </w:tc>
        <w:tc>
          <w:tcPr>
            <w:tcW w:w="3480" w:type="dxa"/>
            <w:tcMar>
              <w:top w:w="100" w:type="dxa"/>
              <w:left w:w="120" w:type="dxa"/>
              <w:bottom w:w="100" w:type="dxa"/>
              <w:right w:w="120" w:type="dxa"/>
            </w:tcMar>
          </w:tcPr>
          <w:p w14:paraId="254F5957" w14:textId="77777777" w:rsidR="009B2284" w:rsidRDefault="00000000">
            <w:r>
              <w:t>Separate encoder stack and decoder stack</w:t>
            </w:r>
          </w:p>
        </w:tc>
        <w:tc>
          <w:tcPr>
            <w:tcW w:w="3480" w:type="dxa"/>
            <w:tcMar>
              <w:top w:w="100" w:type="dxa"/>
              <w:left w:w="120" w:type="dxa"/>
              <w:bottom w:w="100" w:type="dxa"/>
              <w:right w:w="120" w:type="dxa"/>
            </w:tcMar>
          </w:tcPr>
          <w:p w14:paraId="70232197" w14:textId="77777777" w:rsidR="009B2284" w:rsidRDefault="00000000">
            <w:r>
              <w:t>Single decoder-only stack</w:t>
            </w:r>
          </w:p>
        </w:tc>
      </w:tr>
      <w:tr w:rsidR="009B2284" w14:paraId="1C5D885C" w14:textId="77777777">
        <w:tblPrEx>
          <w:tblCellMar>
            <w:top w:w="0" w:type="dxa"/>
            <w:bottom w:w="0" w:type="dxa"/>
          </w:tblCellMar>
        </w:tblPrEx>
        <w:tc>
          <w:tcPr>
            <w:tcW w:w="2400" w:type="dxa"/>
            <w:tcMar>
              <w:top w:w="100" w:type="dxa"/>
              <w:left w:w="120" w:type="dxa"/>
              <w:bottom w:w="100" w:type="dxa"/>
              <w:right w:w="120" w:type="dxa"/>
            </w:tcMar>
          </w:tcPr>
          <w:p w14:paraId="5751DFCE" w14:textId="77777777" w:rsidR="009B2284" w:rsidRDefault="00000000">
            <w:r>
              <w:t>Cross-attention</w:t>
            </w:r>
          </w:p>
        </w:tc>
        <w:tc>
          <w:tcPr>
            <w:tcW w:w="3480" w:type="dxa"/>
            <w:tcMar>
              <w:top w:w="100" w:type="dxa"/>
              <w:left w:w="120" w:type="dxa"/>
              <w:bottom w:w="100" w:type="dxa"/>
              <w:right w:w="120" w:type="dxa"/>
            </w:tcMar>
          </w:tcPr>
          <w:p w14:paraId="7B03B7DA" w14:textId="77777777" w:rsidR="009B2284" w:rsidRDefault="00000000">
            <w:r>
              <w:t>Present — decoder attends to encoder output</w:t>
            </w:r>
          </w:p>
        </w:tc>
        <w:tc>
          <w:tcPr>
            <w:tcW w:w="3480" w:type="dxa"/>
            <w:tcMar>
              <w:top w:w="100" w:type="dxa"/>
              <w:left w:w="120" w:type="dxa"/>
              <w:bottom w:w="100" w:type="dxa"/>
              <w:right w:w="120" w:type="dxa"/>
            </w:tcMar>
          </w:tcPr>
          <w:p w14:paraId="58B1141D" w14:textId="77777777" w:rsidR="009B2284" w:rsidRDefault="00000000">
            <w:r>
              <w:t>Absent — no encoder to attend to</w:t>
            </w:r>
          </w:p>
        </w:tc>
      </w:tr>
      <w:tr w:rsidR="009B2284" w14:paraId="160C7BA2" w14:textId="77777777">
        <w:tblPrEx>
          <w:tblCellMar>
            <w:top w:w="0" w:type="dxa"/>
            <w:bottom w:w="0" w:type="dxa"/>
          </w:tblCellMar>
        </w:tblPrEx>
        <w:tc>
          <w:tcPr>
            <w:tcW w:w="2400" w:type="dxa"/>
            <w:tcMar>
              <w:top w:w="100" w:type="dxa"/>
              <w:left w:w="120" w:type="dxa"/>
              <w:bottom w:w="100" w:type="dxa"/>
              <w:right w:w="120" w:type="dxa"/>
            </w:tcMar>
          </w:tcPr>
          <w:p w14:paraId="4B44F382" w14:textId="77777777" w:rsidR="009B2284" w:rsidRDefault="00000000">
            <w:r>
              <w:t>Self-attention masking</w:t>
            </w:r>
          </w:p>
        </w:tc>
        <w:tc>
          <w:tcPr>
            <w:tcW w:w="3480" w:type="dxa"/>
            <w:tcMar>
              <w:top w:w="100" w:type="dxa"/>
              <w:left w:w="120" w:type="dxa"/>
              <w:bottom w:w="100" w:type="dxa"/>
              <w:right w:w="120" w:type="dxa"/>
            </w:tcMar>
          </w:tcPr>
          <w:p w14:paraId="2F3EA402" w14:textId="77777777" w:rsidR="009B2284" w:rsidRDefault="00000000">
            <w:r>
              <w:t>Encoder: unmasked. Decoder: causally masked</w:t>
            </w:r>
          </w:p>
        </w:tc>
        <w:tc>
          <w:tcPr>
            <w:tcW w:w="3480" w:type="dxa"/>
            <w:tcMar>
              <w:top w:w="100" w:type="dxa"/>
              <w:left w:w="120" w:type="dxa"/>
              <w:bottom w:w="100" w:type="dxa"/>
              <w:right w:w="120" w:type="dxa"/>
            </w:tcMar>
          </w:tcPr>
          <w:p w14:paraId="1126BC24" w14:textId="77777777" w:rsidR="009B2284" w:rsidRDefault="00000000">
            <w:r>
              <w:t>Every block: causally masked</w:t>
            </w:r>
          </w:p>
        </w:tc>
      </w:tr>
      <w:tr w:rsidR="009B2284" w14:paraId="3F2D8626" w14:textId="77777777">
        <w:tblPrEx>
          <w:tblCellMar>
            <w:top w:w="0" w:type="dxa"/>
            <w:bottom w:w="0" w:type="dxa"/>
          </w:tblCellMar>
        </w:tblPrEx>
        <w:tc>
          <w:tcPr>
            <w:tcW w:w="2400" w:type="dxa"/>
            <w:tcMar>
              <w:top w:w="100" w:type="dxa"/>
              <w:left w:w="120" w:type="dxa"/>
              <w:bottom w:w="100" w:type="dxa"/>
              <w:right w:w="120" w:type="dxa"/>
            </w:tcMar>
          </w:tcPr>
          <w:p w14:paraId="77EFC56C" w14:textId="77777777" w:rsidR="009B2284" w:rsidRDefault="00000000">
            <w:r>
              <w:t>Positional information</w:t>
            </w:r>
          </w:p>
        </w:tc>
        <w:tc>
          <w:tcPr>
            <w:tcW w:w="3480" w:type="dxa"/>
            <w:tcMar>
              <w:top w:w="100" w:type="dxa"/>
              <w:left w:w="120" w:type="dxa"/>
              <w:bottom w:w="100" w:type="dxa"/>
              <w:right w:w="120" w:type="dxa"/>
            </w:tcMar>
          </w:tcPr>
          <w:p w14:paraId="4475BCB1" w14:textId="77777777" w:rsidR="009B2284" w:rsidRDefault="00000000">
            <w:r>
              <w:t>Fixed sinusoidal encoding, added once</w:t>
            </w:r>
          </w:p>
        </w:tc>
        <w:tc>
          <w:tcPr>
            <w:tcW w:w="3480" w:type="dxa"/>
            <w:tcMar>
              <w:top w:w="100" w:type="dxa"/>
              <w:left w:w="120" w:type="dxa"/>
              <w:bottom w:w="100" w:type="dxa"/>
              <w:right w:w="120" w:type="dxa"/>
            </w:tcMar>
          </w:tcPr>
          <w:p w14:paraId="73D4A0E6" w14:textId="77777777" w:rsidR="009B2284" w:rsidRDefault="00000000">
            <w:r>
              <w:t>Learned positional embedding table</w:t>
            </w:r>
          </w:p>
        </w:tc>
      </w:tr>
      <w:tr w:rsidR="009B2284" w14:paraId="00368E5F" w14:textId="77777777">
        <w:tblPrEx>
          <w:tblCellMar>
            <w:top w:w="0" w:type="dxa"/>
            <w:bottom w:w="0" w:type="dxa"/>
          </w:tblCellMar>
        </w:tblPrEx>
        <w:tc>
          <w:tcPr>
            <w:tcW w:w="2400" w:type="dxa"/>
            <w:tcMar>
              <w:top w:w="100" w:type="dxa"/>
              <w:left w:w="120" w:type="dxa"/>
              <w:bottom w:w="100" w:type="dxa"/>
              <w:right w:w="120" w:type="dxa"/>
            </w:tcMar>
          </w:tcPr>
          <w:p w14:paraId="50803D8A" w14:textId="77777777" w:rsidR="009B2284" w:rsidRDefault="00000000">
            <w:r>
              <w:t>Layer norm placement</w:t>
            </w:r>
          </w:p>
        </w:tc>
        <w:tc>
          <w:tcPr>
            <w:tcW w:w="3480" w:type="dxa"/>
            <w:tcMar>
              <w:top w:w="100" w:type="dxa"/>
              <w:left w:w="120" w:type="dxa"/>
              <w:bottom w:w="100" w:type="dxa"/>
              <w:right w:w="120" w:type="dxa"/>
            </w:tcMar>
          </w:tcPr>
          <w:p w14:paraId="62C5B9E3" w14:textId="77777777" w:rsidR="009B2284" w:rsidRDefault="00000000">
            <w:r>
              <w:t>Post-norm (after each sub-layer)</w:t>
            </w:r>
          </w:p>
        </w:tc>
        <w:tc>
          <w:tcPr>
            <w:tcW w:w="3480" w:type="dxa"/>
            <w:tcMar>
              <w:top w:w="100" w:type="dxa"/>
              <w:left w:w="120" w:type="dxa"/>
              <w:bottom w:w="100" w:type="dxa"/>
              <w:right w:w="120" w:type="dxa"/>
            </w:tcMar>
          </w:tcPr>
          <w:p w14:paraId="567922BD" w14:textId="77777777" w:rsidR="009B2284" w:rsidRDefault="00000000">
            <w:r>
              <w:t>Pre-norm (before each sub-layer)</w:t>
            </w:r>
          </w:p>
        </w:tc>
      </w:tr>
      <w:tr w:rsidR="009B2284" w14:paraId="0715DA1E" w14:textId="77777777">
        <w:tblPrEx>
          <w:tblCellMar>
            <w:top w:w="0" w:type="dxa"/>
            <w:bottom w:w="0" w:type="dxa"/>
          </w:tblCellMar>
        </w:tblPrEx>
        <w:tc>
          <w:tcPr>
            <w:tcW w:w="2400" w:type="dxa"/>
            <w:tcMar>
              <w:top w:w="100" w:type="dxa"/>
              <w:left w:w="120" w:type="dxa"/>
              <w:bottom w:w="100" w:type="dxa"/>
              <w:right w:w="120" w:type="dxa"/>
            </w:tcMar>
          </w:tcPr>
          <w:p w14:paraId="48008098" w14:textId="77777777" w:rsidR="009B2284" w:rsidRDefault="00000000">
            <w:r>
              <w:t>Activation function</w:t>
            </w:r>
          </w:p>
        </w:tc>
        <w:tc>
          <w:tcPr>
            <w:tcW w:w="3480" w:type="dxa"/>
            <w:tcMar>
              <w:top w:w="100" w:type="dxa"/>
              <w:left w:w="120" w:type="dxa"/>
              <w:bottom w:w="100" w:type="dxa"/>
              <w:right w:w="120" w:type="dxa"/>
            </w:tcMar>
          </w:tcPr>
          <w:p w14:paraId="565215E5" w14:textId="77777777" w:rsidR="009B2284" w:rsidRDefault="00000000">
            <w:proofErr w:type="spellStart"/>
            <w:r>
              <w:t>ReLU</w:t>
            </w:r>
            <w:proofErr w:type="spellEnd"/>
            <w:r>
              <w:t xml:space="preserve"> in the feed-forward block</w:t>
            </w:r>
          </w:p>
        </w:tc>
        <w:tc>
          <w:tcPr>
            <w:tcW w:w="3480" w:type="dxa"/>
            <w:tcMar>
              <w:top w:w="100" w:type="dxa"/>
              <w:left w:w="120" w:type="dxa"/>
              <w:bottom w:w="100" w:type="dxa"/>
              <w:right w:w="120" w:type="dxa"/>
            </w:tcMar>
          </w:tcPr>
          <w:p w14:paraId="261ECFC7" w14:textId="77777777" w:rsidR="009B2284" w:rsidRDefault="00000000">
            <w:r>
              <w:t>GELU in the MLP block</w:t>
            </w:r>
          </w:p>
        </w:tc>
      </w:tr>
      <w:tr w:rsidR="009B2284" w14:paraId="1F23897A" w14:textId="77777777">
        <w:tblPrEx>
          <w:tblCellMar>
            <w:top w:w="0" w:type="dxa"/>
            <w:bottom w:w="0" w:type="dxa"/>
          </w:tblCellMar>
        </w:tblPrEx>
        <w:tc>
          <w:tcPr>
            <w:tcW w:w="2400" w:type="dxa"/>
            <w:tcMar>
              <w:top w:w="100" w:type="dxa"/>
              <w:left w:w="120" w:type="dxa"/>
              <w:bottom w:w="100" w:type="dxa"/>
              <w:right w:w="120" w:type="dxa"/>
            </w:tcMar>
          </w:tcPr>
          <w:p w14:paraId="6C5D55B0" w14:textId="77777777" w:rsidR="009B2284" w:rsidRDefault="00000000">
            <w:r>
              <w:t>Output projection</w:t>
            </w:r>
          </w:p>
        </w:tc>
        <w:tc>
          <w:tcPr>
            <w:tcW w:w="3480" w:type="dxa"/>
            <w:tcMar>
              <w:top w:w="100" w:type="dxa"/>
              <w:left w:w="120" w:type="dxa"/>
              <w:bottom w:w="100" w:type="dxa"/>
              <w:right w:w="120" w:type="dxa"/>
            </w:tcMar>
          </w:tcPr>
          <w:p w14:paraId="53AD21E5" w14:textId="77777777" w:rsidR="009B2284" w:rsidRDefault="00000000">
            <w:r>
              <w:t>Separate learned weight matrix</w:t>
            </w:r>
          </w:p>
        </w:tc>
        <w:tc>
          <w:tcPr>
            <w:tcW w:w="3480" w:type="dxa"/>
            <w:tcMar>
              <w:top w:w="100" w:type="dxa"/>
              <w:left w:w="120" w:type="dxa"/>
              <w:bottom w:w="100" w:type="dxa"/>
              <w:right w:w="120" w:type="dxa"/>
            </w:tcMar>
          </w:tcPr>
          <w:p w14:paraId="33FA29D4" w14:textId="77777777" w:rsidR="009B2284" w:rsidRDefault="00000000">
            <w:r>
              <w:t>Tied to the input token embedding</w:t>
            </w:r>
          </w:p>
        </w:tc>
      </w:tr>
      <w:tr w:rsidR="009B2284" w14:paraId="385F2A3E" w14:textId="77777777">
        <w:tblPrEx>
          <w:tblCellMar>
            <w:top w:w="0" w:type="dxa"/>
            <w:bottom w:w="0" w:type="dxa"/>
          </w:tblCellMar>
        </w:tblPrEx>
        <w:tc>
          <w:tcPr>
            <w:tcW w:w="2400" w:type="dxa"/>
            <w:tcMar>
              <w:top w:w="100" w:type="dxa"/>
              <w:left w:w="120" w:type="dxa"/>
              <w:bottom w:w="100" w:type="dxa"/>
              <w:right w:w="120" w:type="dxa"/>
            </w:tcMar>
          </w:tcPr>
          <w:p w14:paraId="315DD088" w14:textId="77777777" w:rsidR="009B2284" w:rsidRDefault="00000000">
            <w:r>
              <w:t>Training objective</w:t>
            </w:r>
          </w:p>
        </w:tc>
        <w:tc>
          <w:tcPr>
            <w:tcW w:w="3480" w:type="dxa"/>
            <w:tcMar>
              <w:top w:w="100" w:type="dxa"/>
              <w:left w:w="120" w:type="dxa"/>
              <w:bottom w:w="100" w:type="dxa"/>
              <w:right w:w="120" w:type="dxa"/>
            </w:tcMar>
          </w:tcPr>
          <w:p w14:paraId="7715C89F" w14:textId="77777777" w:rsidR="009B2284" w:rsidRDefault="00000000">
            <w:r>
              <w:t>Sequence-to-sequence (translation pairs)</w:t>
            </w:r>
          </w:p>
        </w:tc>
        <w:tc>
          <w:tcPr>
            <w:tcW w:w="3480" w:type="dxa"/>
            <w:tcMar>
              <w:top w:w="100" w:type="dxa"/>
              <w:left w:w="120" w:type="dxa"/>
              <w:bottom w:w="100" w:type="dxa"/>
              <w:right w:w="120" w:type="dxa"/>
            </w:tcMar>
          </w:tcPr>
          <w:p w14:paraId="19BE6616" w14:textId="77777777" w:rsidR="009B2284" w:rsidRDefault="00000000">
            <w:r>
              <w:t>Next-token prediction on raw text</w:t>
            </w:r>
          </w:p>
        </w:tc>
      </w:tr>
    </w:tbl>
    <w:p w14:paraId="35E4549B" w14:textId="77777777" w:rsidR="009B2284" w:rsidRDefault="00000000">
      <w:pPr>
        <w:pStyle w:val="Heading1"/>
        <w:spacing w:before="300" w:after="150"/>
      </w:pPr>
      <w:r>
        <w:t>3. Encoder removed, cross-attention removed</w:t>
      </w:r>
    </w:p>
    <w:p w14:paraId="138E8E1C" w14:textId="77777777" w:rsidR="009B2284" w:rsidRDefault="00000000">
      <w:pPr>
        <w:spacing w:after="200" w:line="300" w:lineRule="auto"/>
      </w:pPr>
      <w:r>
        <w:rPr>
          <w:sz w:val="22"/>
          <w:szCs w:val="22"/>
        </w:rPr>
        <w:t xml:space="preserve">The clearest structural change is subtraction rather than addition. The original decoder has three sub-layers per block: masked self-attention, cross-attention over the encoder's output, and a feed-forward network. GPT-2's block keeps only two: masked self-attention and a feed-forward (MLP) block. There is </w:t>
      </w:r>
      <w:r>
        <w:rPr>
          <w:sz w:val="22"/>
          <w:szCs w:val="22"/>
        </w:rPr>
        <w:lastRenderedPageBreak/>
        <w:t xml:space="preserve">nothing for a middle attention layer to attend to, because there </w:t>
      </w:r>
      <w:proofErr w:type="gramStart"/>
      <w:r>
        <w:rPr>
          <w:sz w:val="22"/>
          <w:szCs w:val="22"/>
        </w:rPr>
        <w:t>is</w:t>
      </w:r>
      <w:proofErr w:type="gramEnd"/>
      <w:r>
        <w:rPr>
          <w:sz w:val="22"/>
          <w:szCs w:val="22"/>
        </w:rPr>
        <w:t xml:space="preserve"> no second sequence and no encoder producing keys and values for it to read.</w:t>
      </w:r>
    </w:p>
    <w:p w14:paraId="5EEE8CCE" w14:textId="77777777" w:rsidR="009B2284" w:rsidRDefault="00000000">
      <w:pPr>
        <w:spacing w:after="200" w:line="300" w:lineRule="auto"/>
      </w:pPr>
      <w:r>
        <w:rPr>
          <w:sz w:val="22"/>
          <w:szCs w:val="22"/>
        </w:rPr>
        <w:t xml:space="preserve">This has a practical consequence for masking. In the original model, the encoder's self-attention is left unmasked, since the whole source sentence is available up front and every position is allowed to look at every other position. GPT-2 has no such luxury or need: since the model is entirely autoregressive, every self-attention layer in every block is causally masked, so a position can only attend to itself and the tokens before it. </w:t>
      </w:r>
      <w:proofErr w:type="spellStart"/>
      <w:r>
        <w:rPr>
          <w:sz w:val="22"/>
          <w:szCs w:val="22"/>
        </w:rPr>
        <w:t>nanoGPT</w:t>
      </w:r>
      <w:proofErr w:type="spellEnd"/>
      <w:r>
        <w:rPr>
          <w:sz w:val="22"/>
          <w:szCs w:val="22"/>
        </w:rPr>
        <w:t xml:space="preserve"> implements this with a lower-triangular mask (or Flash Attention's built-in causal flag) applied inside every single block, not just the last one.</w:t>
      </w:r>
    </w:p>
    <w:p w14:paraId="009CA35D" w14:textId="77777777" w:rsidR="009B2284" w:rsidRDefault="00000000">
      <w:pPr>
        <w:pStyle w:val="Heading1"/>
        <w:spacing w:before="300" w:after="150"/>
      </w:pPr>
      <w:r>
        <w:t>4. Positional information: learned vs. fixed</w:t>
      </w:r>
    </w:p>
    <w:p w14:paraId="1433E92D" w14:textId="77777777" w:rsidR="009B2284" w:rsidRDefault="00000000">
      <w:pPr>
        <w:spacing w:after="200" w:line="300" w:lineRule="auto"/>
      </w:pPr>
      <w:r>
        <w:rPr>
          <w:sz w:val="22"/>
          <w:szCs w:val="22"/>
        </w:rPr>
        <w:t>The 2017 paper injects position using a fixed sinusoidal function, chosen specifically because it required no learned parameters and could in principle extrapolate to sequence lengths not seen during training. GPT-2 abandons this in favor of a learned positional embedding table (</w:t>
      </w:r>
      <w:proofErr w:type="spellStart"/>
      <w:r>
        <w:rPr>
          <w:sz w:val="22"/>
          <w:szCs w:val="22"/>
        </w:rPr>
        <w:t>wpe</w:t>
      </w:r>
      <w:proofErr w:type="spellEnd"/>
      <w:r>
        <w:rPr>
          <w:sz w:val="22"/>
          <w:szCs w:val="22"/>
        </w:rPr>
        <w:t xml:space="preserve"> in </w:t>
      </w:r>
      <w:proofErr w:type="spellStart"/>
      <w:r>
        <w:rPr>
          <w:sz w:val="22"/>
          <w:szCs w:val="22"/>
        </w:rPr>
        <w:t>nanoGPT's</w:t>
      </w:r>
      <w:proofErr w:type="spellEnd"/>
      <w:r>
        <w:rPr>
          <w:sz w:val="22"/>
          <w:szCs w:val="22"/>
        </w:rPr>
        <w:t xml:space="preserve"> code): a matrix of the same shape as the token embedding table, indexed by position and added to the token embedding elementwise. This table is trained along with everything else, and it is also the reason GPT-2 has a hard context limit — </w:t>
      </w:r>
      <w:proofErr w:type="spellStart"/>
      <w:r>
        <w:rPr>
          <w:sz w:val="22"/>
          <w:szCs w:val="22"/>
        </w:rPr>
        <w:t>block_size</w:t>
      </w:r>
      <w:proofErr w:type="spellEnd"/>
      <w:r>
        <w:rPr>
          <w:sz w:val="22"/>
          <w:szCs w:val="22"/>
        </w:rPr>
        <w:t>, 1024 in the original GPT-2 — since there are no learned vectors for positions beyond that range.</w:t>
      </w:r>
    </w:p>
    <w:p w14:paraId="26851447" w14:textId="77777777" w:rsidR="009B2284" w:rsidRDefault="00000000">
      <w:pPr>
        <w:pStyle w:val="Heading1"/>
        <w:spacing w:before="300" w:after="150"/>
      </w:pPr>
      <w:r>
        <w:t>5. Pre-norm instead of post-norm</w:t>
      </w:r>
    </w:p>
    <w:p w14:paraId="5A67BE39" w14:textId="77777777" w:rsidR="009B2284" w:rsidRDefault="00000000">
      <w:pPr>
        <w:spacing w:after="200" w:line="300" w:lineRule="auto"/>
      </w:pPr>
      <w:r>
        <w:rPr>
          <w:sz w:val="22"/>
          <w:szCs w:val="22"/>
        </w:rPr>
        <w:t xml:space="preserve">In the original Transformer, each sub-layer's output is normalized after being added to the residual stream: </w:t>
      </w:r>
      <w:proofErr w:type="spellStart"/>
      <w:proofErr w:type="gramStart"/>
      <w:r>
        <w:rPr>
          <w:sz w:val="22"/>
          <w:szCs w:val="22"/>
        </w:rPr>
        <w:t>LayerNorm</w:t>
      </w:r>
      <w:proofErr w:type="spellEnd"/>
      <w:r>
        <w:rPr>
          <w:sz w:val="22"/>
          <w:szCs w:val="22"/>
        </w:rPr>
        <w:t>(</w:t>
      </w:r>
      <w:proofErr w:type="gramEnd"/>
      <w:r>
        <w:rPr>
          <w:sz w:val="22"/>
          <w:szCs w:val="22"/>
        </w:rPr>
        <w:t xml:space="preserve">x + Sublayer(x)). GPT-2 flips this ordering. </w:t>
      </w:r>
      <w:proofErr w:type="spellStart"/>
      <w:r>
        <w:rPr>
          <w:sz w:val="22"/>
          <w:szCs w:val="22"/>
        </w:rPr>
        <w:t>Karpathy's</w:t>
      </w:r>
      <w:proofErr w:type="spellEnd"/>
      <w:r>
        <w:rPr>
          <w:sz w:val="22"/>
          <w:szCs w:val="22"/>
        </w:rPr>
        <w:t xml:space="preserve"> </w:t>
      </w:r>
      <w:proofErr w:type="spellStart"/>
      <w:r>
        <w:rPr>
          <w:sz w:val="22"/>
          <w:szCs w:val="22"/>
        </w:rPr>
        <w:t>Block.forward</w:t>
      </w:r>
      <w:proofErr w:type="spellEnd"/>
      <w:r>
        <w:rPr>
          <w:sz w:val="22"/>
          <w:szCs w:val="22"/>
        </w:rPr>
        <w:t xml:space="preserve"> is explicit about it: x = x + attn(ln_1(x)), followed by x = x + </w:t>
      </w:r>
      <w:proofErr w:type="spellStart"/>
      <w:r>
        <w:rPr>
          <w:sz w:val="22"/>
          <w:szCs w:val="22"/>
        </w:rPr>
        <w:t>mlp</w:t>
      </w:r>
      <w:proofErr w:type="spellEnd"/>
      <w:r>
        <w:rPr>
          <w:sz w:val="22"/>
          <w:szCs w:val="22"/>
        </w:rPr>
        <w:t xml:space="preserve">(ln_2(x)). The normalization happens on the way into the attention or MLP block, not on the way out, and the residual path itself stays unnormalized all the way through the network. This pre-norm arrangement, inherited from GPT-1 and kept in GPT-2, is now standard in </w:t>
      </w:r>
      <w:proofErr w:type="gramStart"/>
      <w:r>
        <w:rPr>
          <w:sz w:val="22"/>
          <w:szCs w:val="22"/>
        </w:rPr>
        <w:t>most later</w:t>
      </w:r>
      <w:proofErr w:type="gramEnd"/>
      <w:r>
        <w:rPr>
          <w:sz w:val="22"/>
          <w:szCs w:val="22"/>
        </w:rPr>
        <w:t xml:space="preserve"> decoder-only models because it keeps gradients better behaved in very deep stacks and generally removes the need for a learning-rate warmup schedule that post-norm training tends to require.</w:t>
      </w:r>
    </w:p>
    <w:p w14:paraId="58F96B68" w14:textId="77777777" w:rsidR="009B2284" w:rsidRDefault="00000000">
      <w:pPr>
        <w:pStyle w:val="Heading1"/>
        <w:spacing w:before="300" w:after="150"/>
      </w:pPr>
      <w:r>
        <w:t>6. Smaller implementation-level differences</w:t>
      </w:r>
    </w:p>
    <w:p w14:paraId="739A5D14" w14:textId="77777777" w:rsidR="009B2284" w:rsidRDefault="00000000">
      <w:pPr>
        <w:pStyle w:val="ListParagraph"/>
        <w:numPr>
          <w:ilvl w:val="0"/>
          <w:numId w:val="1"/>
        </w:numPr>
        <w:spacing w:after="100" w:line="300" w:lineRule="auto"/>
      </w:pPr>
      <w:r>
        <w:rPr>
          <w:sz w:val="22"/>
          <w:szCs w:val="22"/>
        </w:rPr>
        <w:t xml:space="preserve">Activation function: the original feed-forward block uses </w:t>
      </w:r>
      <w:proofErr w:type="spellStart"/>
      <w:r>
        <w:rPr>
          <w:sz w:val="22"/>
          <w:szCs w:val="22"/>
        </w:rPr>
        <w:t>ReLU</w:t>
      </w:r>
      <w:proofErr w:type="spellEnd"/>
      <w:r>
        <w:rPr>
          <w:sz w:val="22"/>
          <w:szCs w:val="22"/>
        </w:rPr>
        <w:t xml:space="preserve">; GPT-2's MLP uses GELU, which </w:t>
      </w:r>
      <w:proofErr w:type="spellStart"/>
      <w:r>
        <w:rPr>
          <w:sz w:val="22"/>
          <w:szCs w:val="22"/>
        </w:rPr>
        <w:t>nanoGPT</w:t>
      </w:r>
      <w:proofErr w:type="spellEnd"/>
      <w:r>
        <w:rPr>
          <w:sz w:val="22"/>
          <w:szCs w:val="22"/>
        </w:rPr>
        <w:t xml:space="preserve"> implements directly rather than importing.</w:t>
      </w:r>
    </w:p>
    <w:p w14:paraId="03F1C27A" w14:textId="77777777" w:rsidR="009B2284" w:rsidRDefault="00000000">
      <w:pPr>
        <w:pStyle w:val="ListParagraph"/>
        <w:numPr>
          <w:ilvl w:val="0"/>
          <w:numId w:val="1"/>
        </w:numPr>
        <w:spacing w:after="100" w:line="300" w:lineRule="auto"/>
      </w:pPr>
      <w:r>
        <w:rPr>
          <w:sz w:val="22"/>
          <w:szCs w:val="22"/>
        </w:rPr>
        <w:t xml:space="preserve">Weight tying: </w:t>
      </w:r>
      <w:proofErr w:type="spellStart"/>
      <w:r>
        <w:rPr>
          <w:sz w:val="22"/>
          <w:szCs w:val="22"/>
        </w:rPr>
        <w:t>nanoGPT</w:t>
      </w:r>
      <w:proofErr w:type="spellEnd"/>
      <w:r>
        <w:rPr>
          <w:sz w:val="22"/>
          <w:szCs w:val="22"/>
        </w:rPr>
        <w:t xml:space="preserve"> ties the token embedding matrix (</w:t>
      </w:r>
      <w:proofErr w:type="spellStart"/>
      <w:r>
        <w:rPr>
          <w:sz w:val="22"/>
          <w:szCs w:val="22"/>
        </w:rPr>
        <w:t>wte</w:t>
      </w:r>
      <w:proofErr w:type="spellEnd"/>
      <w:r>
        <w:rPr>
          <w:sz w:val="22"/>
          <w:szCs w:val="22"/>
        </w:rPr>
        <w:t>) and the final output projection (</w:t>
      </w:r>
      <w:proofErr w:type="spellStart"/>
      <w:r>
        <w:rPr>
          <w:sz w:val="22"/>
          <w:szCs w:val="22"/>
        </w:rPr>
        <w:t>lm_head</w:t>
      </w:r>
      <w:proofErr w:type="spellEnd"/>
      <w:r>
        <w:rPr>
          <w:sz w:val="22"/>
          <w:szCs w:val="22"/>
        </w:rPr>
        <w:t>) to the same weights, following the original GPT-2 design — a parameter-saving choice with no equivalent constraint in the original encoder-decoder model.</w:t>
      </w:r>
    </w:p>
    <w:p w14:paraId="6CBE7FAF" w14:textId="77777777" w:rsidR="009B2284" w:rsidRDefault="00000000">
      <w:pPr>
        <w:pStyle w:val="ListParagraph"/>
        <w:numPr>
          <w:ilvl w:val="0"/>
          <w:numId w:val="1"/>
        </w:numPr>
        <w:spacing w:after="100" w:line="300" w:lineRule="auto"/>
      </w:pPr>
      <w:r>
        <w:rPr>
          <w:sz w:val="22"/>
          <w:szCs w:val="22"/>
        </w:rPr>
        <w:t xml:space="preserve">Bias terms: </w:t>
      </w:r>
      <w:proofErr w:type="spellStart"/>
      <w:r>
        <w:rPr>
          <w:sz w:val="22"/>
          <w:szCs w:val="22"/>
        </w:rPr>
        <w:t>nanoGPT</w:t>
      </w:r>
      <w:proofErr w:type="spellEnd"/>
      <w:r>
        <w:rPr>
          <w:sz w:val="22"/>
          <w:szCs w:val="22"/>
        </w:rPr>
        <w:t xml:space="preserve"> exposes a single bias flag that removes bias parameters from every Linear and </w:t>
      </w:r>
      <w:proofErr w:type="spellStart"/>
      <w:r>
        <w:rPr>
          <w:sz w:val="22"/>
          <w:szCs w:val="22"/>
        </w:rPr>
        <w:t>LayerNorm</w:t>
      </w:r>
      <w:proofErr w:type="spellEnd"/>
      <w:r>
        <w:rPr>
          <w:sz w:val="22"/>
          <w:szCs w:val="22"/>
        </w:rPr>
        <w:t xml:space="preserve"> when set to false, reproducing GPT-2's defaults (bias = True) while making the leaner, bias-free variant used by many modern implementations available as an option.</w:t>
      </w:r>
    </w:p>
    <w:p w14:paraId="633553B5" w14:textId="77777777" w:rsidR="009B2284" w:rsidRDefault="00000000">
      <w:pPr>
        <w:pStyle w:val="ListParagraph"/>
        <w:numPr>
          <w:ilvl w:val="0"/>
          <w:numId w:val="1"/>
        </w:numPr>
        <w:spacing w:after="100" w:line="300" w:lineRule="auto"/>
      </w:pPr>
      <w:r>
        <w:rPr>
          <w:sz w:val="22"/>
          <w:szCs w:val="22"/>
        </w:rPr>
        <w:lastRenderedPageBreak/>
        <w:t xml:space="preserve">Final layer norm: GPT-2 adds one additional </w:t>
      </w:r>
      <w:proofErr w:type="spellStart"/>
      <w:r>
        <w:rPr>
          <w:sz w:val="22"/>
          <w:szCs w:val="22"/>
        </w:rPr>
        <w:t>LayerNorm</w:t>
      </w:r>
      <w:proofErr w:type="spellEnd"/>
      <w:r>
        <w:rPr>
          <w:sz w:val="22"/>
          <w:szCs w:val="22"/>
        </w:rPr>
        <w:t xml:space="preserve"> after the last block and before the output projection, which the original decoder stack does not have in the same form.</w:t>
      </w:r>
    </w:p>
    <w:p w14:paraId="0FD93FC4" w14:textId="77777777" w:rsidR="009B2284" w:rsidRDefault="00000000">
      <w:pPr>
        <w:pStyle w:val="ListParagraph"/>
        <w:numPr>
          <w:ilvl w:val="0"/>
          <w:numId w:val="1"/>
        </w:numPr>
        <w:spacing w:after="100" w:line="300" w:lineRule="auto"/>
      </w:pPr>
      <w:r>
        <w:rPr>
          <w:sz w:val="22"/>
          <w:szCs w:val="22"/>
        </w:rPr>
        <w:t>Vocabulary and tokenizer: GPT-2 uses a byte-pair encoding vocabulary of 50,257 tokens (</w:t>
      </w:r>
      <w:proofErr w:type="spellStart"/>
      <w:r>
        <w:rPr>
          <w:sz w:val="22"/>
          <w:szCs w:val="22"/>
        </w:rPr>
        <w:t>nanoGPT</w:t>
      </w:r>
      <w:proofErr w:type="spellEnd"/>
      <w:r>
        <w:rPr>
          <w:sz w:val="22"/>
          <w:szCs w:val="22"/>
        </w:rPr>
        <w:t xml:space="preserve"> pads this to 50,304 for GPU efficiency); the original paper used a smaller shared source-target vocabulary suited to its translation task.</w:t>
      </w:r>
    </w:p>
    <w:p w14:paraId="1C700318" w14:textId="77777777" w:rsidR="009B2284" w:rsidRDefault="00000000">
      <w:pPr>
        <w:pStyle w:val="Heading1"/>
        <w:spacing w:before="300" w:after="150"/>
      </w:pPr>
      <w:r>
        <w:t>7. Why the decoder-only design generalized</w:t>
      </w:r>
    </w:p>
    <w:p w14:paraId="10336EBD" w14:textId="77777777" w:rsidR="009B2284" w:rsidRDefault="00000000">
      <w:pPr>
        <w:spacing w:after="200" w:line="300" w:lineRule="auto"/>
      </w:pPr>
      <w:r>
        <w:rPr>
          <w:sz w:val="22"/>
          <w:szCs w:val="22"/>
        </w:rPr>
        <w:t>Discarding the encoder was not just a simplification for GPT-2's specific task. It turned out that a single causally masked stack, trained purely to predict the next token over massive amounts of raw text, is enough to perform translation, summarization, question answering, and many other tasks that originally motivated the encoder-decoder split — provided the task is phrased as a sequence to continue rather than a sequence to map into another sequence. This reframing, more than any single architectural tweak, is what let decoder-only models absorb the role the original Transformer split across two stacks.</w:t>
      </w:r>
    </w:p>
    <w:p w14:paraId="202BF2EC" w14:textId="29667D51" w:rsidR="009B2284" w:rsidRDefault="009B2284">
      <w:pPr>
        <w:spacing w:before="100" w:after="200"/>
      </w:pPr>
    </w:p>
    <w:sectPr w:rsidR="009B22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1213E" w14:textId="77777777" w:rsidR="00AE13E0" w:rsidRDefault="00AE13E0">
      <w:r>
        <w:separator/>
      </w:r>
    </w:p>
  </w:endnote>
  <w:endnote w:type="continuationSeparator" w:id="0">
    <w:p w14:paraId="02DA9E46" w14:textId="77777777" w:rsidR="00AE13E0" w:rsidRDefault="00AE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2032" w14:textId="77777777" w:rsidR="009B2284"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1120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626F" w14:textId="77777777" w:rsidR="00AE13E0" w:rsidRDefault="00AE13E0">
      <w:r>
        <w:separator/>
      </w:r>
    </w:p>
  </w:footnote>
  <w:footnote w:type="continuationSeparator" w:id="0">
    <w:p w14:paraId="1EE17F67" w14:textId="77777777" w:rsidR="00AE13E0" w:rsidRDefault="00AE1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CAEB" w14:textId="52FCBADC" w:rsidR="009B2284" w:rsidRDefault="009B228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93024"/>
    <w:multiLevelType w:val="hybridMultilevel"/>
    <w:tmpl w:val="FE56AC36"/>
    <w:lvl w:ilvl="0" w:tplc="2D94DD66">
      <w:start w:val="1"/>
      <w:numFmt w:val="bullet"/>
      <w:lvlText w:val="●"/>
      <w:lvlJc w:val="left"/>
      <w:pPr>
        <w:ind w:left="720" w:hanging="360"/>
      </w:pPr>
    </w:lvl>
    <w:lvl w:ilvl="1" w:tplc="24E4C9DE">
      <w:start w:val="1"/>
      <w:numFmt w:val="bullet"/>
      <w:lvlText w:val="○"/>
      <w:lvlJc w:val="left"/>
      <w:pPr>
        <w:ind w:left="1440" w:hanging="360"/>
      </w:pPr>
    </w:lvl>
    <w:lvl w:ilvl="2" w:tplc="C3DEB632">
      <w:start w:val="1"/>
      <w:numFmt w:val="bullet"/>
      <w:lvlText w:val="■"/>
      <w:lvlJc w:val="left"/>
      <w:pPr>
        <w:ind w:left="2160" w:hanging="360"/>
      </w:pPr>
    </w:lvl>
    <w:lvl w:ilvl="3" w:tplc="34167C62">
      <w:start w:val="1"/>
      <w:numFmt w:val="bullet"/>
      <w:lvlText w:val="●"/>
      <w:lvlJc w:val="left"/>
      <w:pPr>
        <w:ind w:left="2880" w:hanging="360"/>
      </w:pPr>
    </w:lvl>
    <w:lvl w:ilvl="4" w:tplc="1BD4D5AA">
      <w:start w:val="1"/>
      <w:numFmt w:val="bullet"/>
      <w:lvlText w:val="○"/>
      <w:lvlJc w:val="left"/>
      <w:pPr>
        <w:ind w:left="3600" w:hanging="360"/>
      </w:pPr>
    </w:lvl>
    <w:lvl w:ilvl="5" w:tplc="69F2F274">
      <w:start w:val="1"/>
      <w:numFmt w:val="bullet"/>
      <w:lvlText w:val="■"/>
      <w:lvlJc w:val="left"/>
      <w:pPr>
        <w:ind w:left="4320" w:hanging="360"/>
      </w:pPr>
    </w:lvl>
    <w:lvl w:ilvl="6" w:tplc="E8CA440E">
      <w:start w:val="1"/>
      <w:numFmt w:val="bullet"/>
      <w:lvlText w:val="●"/>
      <w:lvlJc w:val="left"/>
      <w:pPr>
        <w:ind w:left="5040" w:hanging="360"/>
      </w:pPr>
    </w:lvl>
    <w:lvl w:ilvl="7" w:tplc="4AA8828A">
      <w:start w:val="1"/>
      <w:numFmt w:val="bullet"/>
      <w:lvlText w:val="●"/>
      <w:lvlJc w:val="left"/>
      <w:pPr>
        <w:ind w:left="5760" w:hanging="360"/>
      </w:pPr>
    </w:lvl>
    <w:lvl w:ilvl="8" w:tplc="5DA01EB6">
      <w:start w:val="1"/>
      <w:numFmt w:val="bullet"/>
      <w:lvlText w:val="●"/>
      <w:lvlJc w:val="left"/>
      <w:pPr>
        <w:ind w:left="6480" w:hanging="360"/>
      </w:pPr>
    </w:lvl>
  </w:abstractNum>
  <w:num w:numId="1" w16cid:durableId="105828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284"/>
    <w:rsid w:val="0089774B"/>
    <w:rsid w:val="009B2284"/>
    <w:rsid w:val="00AE13E0"/>
    <w:rsid w:val="00E1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42081"/>
  <w15:docId w15:val="{5BEE27B3-C75B-4D88-8E14-2961FE1D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120E"/>
    <w:pPr>
      <w:tabs>
        <w:tab w:val="center" w:pos="4680"/>
        <w:tab w:val="right" w:pos="9360"/>
      </w:tabs>
    </w:pPr>
  </w:style>
  <w:style w:type="character" w:customStyle="1" w:styleId="HeaderChar">
    <w:name w:val="Header Char"/>
    <w:basedOn w:val="DefaultParagraphFont"/>
    <w:link w:val="Header"/>
    <w:uiPriority w:val="99"/>
    <w:rsid w:val="00E1120E"/>
  </w:style>
  <w:style w:type="paragraph" w:styleId="Footer">
    <w:name w:val="footer"/>
    <w:basedOn w:val="Normal"/>
    <w:link w:val="FooterChar"/>
    <w:uiPriority w:val="99"/>
    <w:unhideWhenUsed/>
    <w:rsid w:val="00E1120E"/>
    <w:pPr>
      <w:tabs>
        <w:tab w:val="center" w:pos="4680"/>
        <w:tab w:val="right" w:pos="9360"/>
      </w:tabs>
    </w:pPr>
  </w:style>
  <w:style w:type="character" w:customStyle="1" w:styleId="FooterChar">
    <w:name w:val="Footer Char"/>
    <w:basedOn w:val="DefaultParagraphFont"/>
    <w:link w:val="Footer"/>
    <w:uiPriority w:val="99"/>
    <w:rsid w:val="00E11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Manahil Bashir</cp:lastModifiedBy>
  <cp:revision>2</cp:revision>
  <dcterms:created xsi:type="dcterms:W3CDTF">2026-07-30T08:33:00Z</dcterms:created>
  <dcterms:modified xsi:type="dcterms:W3CDTF">2026-07-30T08:33:00Z</dcterms:modified>
</cp:coreProperties>
</file>