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17AA" w14:textId="77777777" w:rsidR="00DF5289" w:rsidRDefault="00DF5289"/>
    <w:p w14:paraId="1868ACA7" w14:textId="77777777" w:rsidR="00DF5289" w:rsidRDefault="00DF5289"/>
    <w:p w14:paraId="02B4389F" w14:textId="77777777" w:rsidR="00DF5289" w:rsidRDefault="00DF5289"/>
    <w:p w14:paraId="56ECD6D8" w14:textId="77777777" w:rsidR="00DF5289" w:rsidRDefault="00182CDE">
      <w:pPr>
        <w:spacing w:line="480" w:lineRule="auto"/>
        <w:jc w:val="center"/>
      </w:pPr>
      <w:r>
        <w:rPr>
          <w:b/>
          <w:bCs/>
        </w:rPr>
        <w:t>The Role of Procalcitonin in Guiding Antibiotic Duration for Hospitalized Patients</w:t>
      </w:r>
    </w:p>
    <w:p w14:paraId="56FB0751" w14:textId="72389A9A" w:rsidR="00DF5289" w:rsidRDefault="00182CDE">
      <w:pPr>
        <w:spacing w:line="480" w:lineRule="auto"/>
        <w:jc w:val="center"/>
      </w:pPr>
      <w:r>
        <w:rPr>
          <w:b/>
          <w:bCs/>
        </w:rPr>
        <w:t>with Community-Acquired Pneumonia</w:t>
      </w:r>
    </w:p>
    <w:p w14:paraId="7754A004" w14:textId="77777777" w:rsidR="00DF5289" w:rsidRDefault="00DF5289"/>
    <w:p w14:paraId="048BA162" w14:textId="451FDB9B" w:rsidR="00DF5289" w:rsidRDefault="00F20CF4">
      <w:pPr>
        <w:spacing w:line="480" w:lineRule="auto"/>
        <w:jc w:val="center"/>
      </w:pPr>
      <w:r>
        <w:t xml:space="preserve">Manal Almutairi </w:t>
      </w:r>
    </w:p>
    <w:p w14:paraId="7BBADDAD" w14:textId="77777777" w:rsidR="00DF5289" w:rsidRDefault="00182CDE">
      <w:pPr>
        <w:spacing w:line="480" w:lineRule="auto"/>
        <w:jc w:val="center"/>
      </w:pPr>
      <w:r>
        <w:t>University of Pennsylvania, School of Nursing</w:t>
      </w:r>
    </w:p>
    <w:p w14:paraId="4AD73513" w14:textId="77777777" w:rsidR="00DF5289" w:rsidRDefault="00182CDE">
      <w:pPr>
        <w:spacing w:line="480" w:lineRule="auto"/>
        <w:jc w:val="center"/>
      </w:pPr>
      <w:r>
        <w:t>Adult Gerontology Acute Care Nurse Practitioner Program</w:t>
      </w:r>
    </w:p>
    <w:p w14:paraId="741B670F" w14:textId="23D605A7" w:rsidR="00EA01E3" w:rsidRDefault="00EA01E3" w:rsidP="00EA01E3">
      <w:pPr>
        <w:pStyle w:val="Heading1"/>
        <w:shd w:val="clear" w:color="auto" w:fill="FFFFFF"/>
        <w:jc w:val="center"/>
        <w:rPr>
          <w:color w:val="auto"/>
          <w:sz w:val="24"/>
          <w:szCs w:val="24"/>
        </w:rPr>
      </w:pPr>
      <w:r w:rsidRPr="00EA01E3">
        <w:rPr>
          <w:color w:val="auto"/>
          <w:sz w:val="24"/>
          <w:szCs w:val="24"/>
        </w:rPr>
        <w:t>NURS 6710</w:t>
      </w:r>
    </w:p>
    <w:p w14:paraId="64A3A9B6" w14:textId="6D98CB1E" w:rsidR="00EA01E3" w:rsidRPr="00EA01E3" w:rsidRDefault="00EA01E3" w:rsidP="00EA01E3">
      <w:pPr>
        <w:pStyle w:val="Heading1"/>
        <w:shd w:val="clear" w:color="auto" w:fill="FFFFFF"/>
        <w:jc w:val="center"/>
        <w:rPr>
          <w:color w:val="auto"/>
          <w:sz w:val="24"/>
          <w:szCs w:val="24"/>
        </w:rPr>
      </w:pPr>
      <w:r>
        <w:rPr>
          <w:color w:val="auto"/>
          <w:sz w:val="24"/>
          <w:szCs w:val="24"/>
        </w:rPr>
        <w:t xml:space="preserve"> April 7, 2026</w:t>
      </w:r>
    </w:p>
    <w:p w14:paraId="6C725F37" w14:textId="51F8A2E6" w:rsidR="00DF5289" w:rsidRDefault="00DF5289" w:rsidP="005735F6">
      <w:pPr>
        <w:spacing w:line="480" w:lineRule="auto"/>
        <w:jc w:val="center"/>
      </w:pPr>
    </w:p>
    <w:p w14:paraId="3C7D0030" w14:textId="30CA1E4C" w:rsidR="007B6306" w:rsidRDefault="00182CDE" w:rsidP="00BD69ED">
      <w:pPr>
        <w:jc w:val="center"/>
      </w:pPr>
      <w:r>
        <w:br w:type="page"/>
      </w:r>
      <w:r w:rsidR="007B6306">
        <w:rPr>
          <w:b/>
          <w:bCs/>
        </w:rPr>
        <w:lastRenderedPageBreak/>
        <w:t>Abstract</w:t>
      </w:r>
    </w:p>
    <w:p w14:paraId="227D0702" w14:textId="6D835B82" w:rsidR="007B6306" w:rsidRDefault="007B6306" w:rsidP="007B6306">
      <w:pPr>
        <w:spacing w:line="480" w:lineRule="auto"/>
        <w:ind w:firstLine="720"/>
        <w:jc w:val="both"/>
      </w:pPr>
      <w:r>
        <w:t>Community-acquired pneumonia (CAP) represents one of the most common diagnoses requiring hospitalization among adult patients and remains a significant contributor to antibiotic overuse in acute care settings. Prolonged and inappropriate antibiotic treatment is a driver of antimicrobial resistance (AMR), adverse drug events, and increased healthcare costs. Procalcitonin (PCT), a serum biomarker that rises in response to bacterial infection, has been proposed as a tool to individualize and potentially shorten antibiotic courses without compromising patient safety. This systematic review addresses the PICO question: In hospitalized patients with community-acquired pneumonia, does the use of procalcitonin (PCT) guidance decrease antibiotic use? A comprehensive literature search was conducted using CINAHL, Scopus, and PubMed databases. A total of 171 records were identified, 166 were screened, 17 were assessed for eligibility, and 3 studies met full inclusion criteria. Three Level I, high-quality randomized controlled trials (RCTs) conducted between 2020 and 2025 were included: Duijkers et al. (2024), Voiriot et al. (2025), and Uranga et al. (2020). Collectively, these studies enrolled adult hospitalized patients with CAP across intensive care unit (ICU) and non-ICU settings in Europe. Findings consistently demonstrated that PCT-guided strategies were associated with safe antibiotic use reduction in non-ICU settings, though the magnitude of benefit was more modest in critically ill ICU patients. No studies identified increases in mortality, clinical failure rates, or long-term adverse outcomes attributable to shorter antibiotic courses guided by biomarkers. Based on this evidence, PCT-guided antibiotic stewardship is recommended as a component of routine management for non-ICU hospitalized CAP patients. Future research should address PCT-guided strategies in immunocompromised populations, high antimicrobial resistance settings, and patients with atypical pathogens.</w:t>
      </w:r>
    </w:p>
    <w:p w14:paraId="31829BD6" w14:textId="77777777" w:rsidR="007B6306" w:rsidRDefault="007B6306" w:rsidP="007B6306"/>
    <w:p w14:paraId="7AA13ED9" w14:textId="77777777" w:rsidR="007B6306" w:rsidRDefault="007B6306" w:rsidP="007B6306">
      <w:pPr>
        <w:spacing w:line="480" w:lineRule="auto"/>
        <w:ind w:firstLine="720"/>
        <w:jc w:val="both"/>
      </w:pPr>
      <w:r>
        <w:rPr>
          <w:b/>
          <w:bCs/>
        </w:rPr>
        <w:lastRenderedPageBreak/>
        <w:t xml:space="preserve">Keywords: </w:t>
      </w:r>
      <w:r>
        <w:t>procalcitonin, community-acquired pneumonia, antibiotic stewardship, antibiotic duration, antimicrobial resistance, hospitalized patients</w:t>
      </w:r>
    </w:p>
    <w:p w14:paraId="16F5106F" w14:textId="77777777" w:rsidR="007B6306" w:rsidRDefault="007B6306" w:rsidP="007B6306">
      <w:r>
        <w:br w:type="page"/>
      </w:r>
    </w:p>
    <w:p w14:paraId="528420B4" w14:textId="77777777" w:rsidR="007B6306" w:rsidRDefault="007B6306" w:rsidP="007B6306">
      <w:pPr>
        <w:spacing w:before="240" w:after="120"/>
        <w:jc w:val="center"/>
      </w:pPr>
      <w:r>
        <w:rPr>
          <w:b/>
          <w:bCs/>
        </w:rPr>
        <w:lastRenderedPageBreak/>
        <w:t>The Role of Procalcitonin in Guiding Antibiotic Duration for Hospitalized Patients</w:t>
      </w:r>
    </w:p>
    <w:p w14:paraId="31E783F1" w14:textId="77777777" w:rsidR="007B6306" w:rsidRDefault="007B6306" w:rsidP="007B6306">
      <w:pPr>
        <w:spacing w:line="480" w:lineRule="auto"/>
        <w:jc w:val="center"/>
      </w:pPr>
      <w:r>
        <w:rPr>
          <w:b/>
          <w:bCs/>
        </w:rPr>
        <w:t>with Community-Acquired Pneumonia: A Systematic Review</w:t>
      </w:r>
    </w:p>
    <w:p w14:paraId="19BD7345" w14:textId="77777777" w:rsidR="007B6306" w:rsidRDefault="007B6306" w:rsidP="007B6306"/>
    <w:p w14:paraId="13FBD2D2" w14:textId="77777777" w:rsidR="007B6306" w:rsidRPr="00C17545" w:rsidRDefault="007B6306" w:rsidP="00EA01E3">
      <w:pPr>
        <w:pStyle w:val="Heading1"/>
        <w:jc w:val="center"/>
        <w:rPr>
          <w:b/>
          <w:color w:val="auto"/>
          <w:sz w:val="24"/>
          <w:szCs w:val="24"/>
        </w:rPr>
      </w:pPr>
      <w:r w:rsidRPr="00C17545">
        <w:rPr>
          <w:b/>
          <w:color w:val="auto"/>
          <w:sz w:val="24"/>
          <w:szCs w:val="24"/>
        </w:rPr>
        <w:t>Introduction</w:t>
      </w:r>
    </w:p>
    <w:p w14:paraId="3ED370F8" w14:textId="1EFCC3A5" w:rsidR="007B6306" w:rsidRDefault="007B6306" w:rsidP="007B6306">
      <w:pPr>
        <w:spacing w:line="480" w:lineRule="auto"/>
        <w:ind w:firstLine="720"/>
        <w:jc w:val="both"/>
      </w:pPr>
      <w:r>
        <w:t>Community-acquired pneumonia is among the most frequent infectious diagnoses in adult patients admitted to acute care facilities in the United States and globally. Approximately 1.5 million adults are hospitalized annually in the United States due to CAP, and it carries significant morbidity and mortality</w:t>
      </w:r>
      <w:r w:rsidR="00BD69ED">
        <w:t xml:space="preserve"> </w:t>
      </w:r>
      <w:r>
        <w:t>particularly in older adults and those with underlying comorbidities (File &amp; Ramirez, 2023). CAP is also among the leading indications for systemic antibiotic therapy in hospitalized patients, and it is well established that physicians frequently prescribe antibiotics beyond recommended durations, especially for patients with persistent symptoms or comorbid conditions (Metlay et al., 2019). This pattern of excessive antibiotic use contributes to treatment-associated adverse effects, Clostridioides difficile infection, and the emergence and spread of antimicrobial-resistant organisms.</w:t>
      </w:r>
    </w:p>
    <w:p w14:paraId="50A1BA27" w14:textId="77777777" w:rsidR="007B6306" w:rsidRDefault="007B6306" w:rsidP="007B6306">
      <w:pPr>
        <w:spacing w:line="480" w:lineRule="auto"/>
        <w:ind w:firstLine="720"/>
        <w:jc w:val="both"/>
      </w:pPr>
      <w:r>
        <w:t>The current Infectious Diseases Society of America (IDSA) and American Thoracic Society (ATS) guidelines recommend a minimum antibiotic course of five days for non-severe CAP in hospitalized patients who have achieved clinical stability, defined by resolution of fever, normalization of hemodynamics, adequate oxygenation, and ability to tolerate oral intake (Metlay et al., 2019). Despite this guidance, antibiotic courses in clinical practice frequently extend to seven to ten days or longer. The disconnect between guideline recommendations and real-world prescribing underscores the need for objective, reliable tools to support antibiotic de-escalation and discontinuation decisions.</w:t>
      </w:r>
    </w:p>
    <w:p w14:paraId="676F3EC3" w14:textId="77777777" w:rsidR="007B6306" w:rsidRDefault="007B6306" w:rsidP="007B6306">
      <w:pPr>
        <w:spacing w:line="480" w:lineRule="auto"/>
        <w:ind w:firstLine="720"/>
        <w:jc w:val="both"/>
      </w:pPr>
      <w:r>
        <w:t xml:space="preserve">Procalcitonin is a prohormone of calcitonin whose serum levels rise markedly in the setting of bacterial infections and fall rapidly with resolution of infection or initiation of effective antibiotic therapy (Schuetz et al., 2019). Unlike non-specific inflammatory markers such as white </w:t>
      </w:r>
      <w:r>
        <w:lastRenderedPageBreak/>
        <w:t>blood cell count or C-reactive protein (CRP), PCT levels correlate more specifically with bacterial rather than viral or non-infectious inflammatory conditions, making it a potentially superior biomarker for guiding antibiotic decision-making. Published PCT-guided antibiotic algorithms typically recommend antibiotic discontinuation when PCT falls below a predetermined threshold (commonly 0.25 ng/mL) or when PCT has declined by more than 80% from its peak value (Schuetz et al., 2019).</w:t>
      </w:r>
    </w:p>
    <w:p w14:paraId="31C79B74" w14:textId="75C51238" w:rsidR="007B6306" w:rsidRDefault="007B6306" w:rsidP="007B6306">
      <w:pPr>
        <w:spacing w:line="480" w:lineRule="auto"/>
        <w:ind w:firstLine="720"/>
        <w:jc w:val="both"/>
      </w:pPr>
      <w:r>
        <w:t>For adult-gerontology acute care nurse practitioners (AGACNPs), antibiotic stewardship is a core clinical responsibility. In acute care settings, AGACNPs frequently initiate, manage, and discontinue antibiotic therapy for patients with CAP. Integrating objective biomarker-guided protocols into clinical decision-making can empower advanced practice nurses to confidently de-escalate therapy, reduce unnecessary exposure to broad-spectrum agents, and contribute meaningfully to institutional stewardship goals. Given the high prevalence of CAP among older adults</w:t>
      </w:r>
      <w:r w:rsidR="00BD69ED">
        <w:t xml:space="preserve"> </w:t>
      </w:r>
      <w:r>
        <w:t>a population particularly vulnerable to antibiotic-related harms including nephrotoxicity, drug interactions, and C. difficile colitis</w:t>
      </w:r>
      <w:r w:rsidR="00BD69ED">
        <w:t xml:space="preserve"> </w:t>
      </w:r>
      <w:r>
        <w:t>evidence supporting safe antibiotic reduction is of direct clinical relevance to this specialty.</w:t>
      </w:r>
    </w:p>
    <w:p w14:paraId="51A37819" w14:textId="77777777" w:rsidR="007B6306" w:rsidRDefault="007B6306" w:rsidP="007B6306">
      <w:pPr>
        <w:spacing w:line="480" w:lineRule="auto"/>
        <w:ind w:firstLine="720"/>
        <w:jc w:val="both"/>
      </w:pPr>
      <w:r>
        <w:t>The purpose of this review is to systematically examine the published literature regarding the effectiveness of PCT-guided protocols in reducing antibiotic use among hospitalized adult patients with CAP, without compromising patient safety or clinical outcomes. The PICO question guiding this review is: In hospitalized patients with community-acquired pneumonia (CAP), does the use of procalcitonin (PCT) decrease antibiotic use?</w:t>
      </w:r>
    </w:p>
    <w:p w14:paraId="07433173" w14:textId="77777777" w:rsidR="007B6306" w:rsidRDefault="007B6306" w:rsidP="007B6306">
      <w:r>
        <w:br w:type="page"/>
      </w:r>
    </w:p>
    <w:p w14:paraId="37CCBE80" w14:textId="77777777" w:rsidR="007B6306" w:rsidRPr="00EA01E3" w:rsidRDefault="007B6306" w:rsidP="00EA01E3">
      <w:pPr>
        <w:pStyle w:val="Heading1"/>
        <w:jc w:val="center"/>
        <w:rPr>
          <w:b/>
          <w:color w:val="auto"/>
          <w:sz w:val="24"/>
          <w:szCs w:val="24"/>
        </w:rPr>
      </w:pPr>
      <w:r w:rsidRPr="00EA01E3">
        <w:rPr>
          <w:b/>
          <w:color w:val="auto"/>
          <w:sz w:val="24"/>
          <w:szCs w:val="24"/>
        </w:rPr>
        <w:lastRenderedPageBreak/>
        <w:t>Methods</w:t>
      </w:r>
    </w:p>
    <w:p w14:paraId="44B51768" w14:textId="0196788C" w:rsidR="007B6306" w:rsidRDefault="007B6306" w:rsidP="007B6306">
      <w:pPr>
        <w:spacing w:line="480" w:lineRule="auto"/>
        <w:ind w:firstLine="720"/>
        <w:jc w:val="both"/>
      </w:pPr>
      <w:r>
        <w:t xml:space="preserve">A systematic review was conducted to identify and synthesize published peer-reviewed literature addressing the clinical effectiveness of procalcitonin-guided antibiotic management in adult patients hospitalized with CAP. The search was performed on </w:t>
      </w:r>
      <w:r w:rsidR="00307251">
        <w:t>October</w:t>
      </w:r>
      <w:r>
        <w:t xml:space="preserve"> 2</w:t>
      </w:r>
      <w:r w:rsidR="00307251">
        <w:t>3</w:t>
      </w:r>
      <w:r>
        <w:t>, 202</w:t>
      </w:r>
      <w:r w:rsidR="00307251">
        <w:t>5</w:t>
      </w:r>
      <w:r>
        <w:t xml:space="preserve">, across three electronic databases: </w:t>
      </w:r>
      <w:r w:rsidR="00AC1CA5">
        <w:t>CINAHL,</w:t>
      </w:r>
      <w:r>
        <w:t xml:space="preserve"> Scopus, and PubMed. The search strategy was developed and executed collaboratively during the Part 1 phase of this State of Science project, with refinements made based on faculty feedback.</w:t>
      </w:r>
    </w:p>
    <w:p w14:paraId="724FC1A0" w14:textId="6BC4B98E" w:rsidR="007B6306" w:rsidRDefault="007B6306" w:rsidP="007B6306">
      <w:pPr>
        <w:spacing w:line="480" w:lineRule="auto"/>
        <w:ind w:firstLine="720"/>
        <w:jc w:val="both"/>
      </w:pPr>
      <w:r>
        <w:t>The following MeSH terms and Boolean operators were used across all databases: ("procalcitonin" OR "PCT") AND ("community-acquired pneumonia" OR "CAP") AND ("antibiotic" OR "antimicrobial" OR "antibiotic stewardship" OR "antibiotic duration"). Limits applied to all searches included: (1) peer-reviewed publications, (2) English language, (3) human subjects, (4) adult population (age 18 years or older), and (5) publication date from January 20</w:t>
      </w:r>
      <w:r w:rsidR="00307251">
        <w:t>20</w:t>
      </w:r>
      <w:r>
        <w:t xml:space="preserve"> to </w:t>
      </w:r>
      <w:r w:rsidR="00307251">
        <w:t>December</w:t>
      </w:r>
      <w:r>
        <w:t xml:space="preserve"> 202</w:t>
      </w:r>
      <w:r w:rsidR="00307251">
        <w:t>5</w:t>
      </w:r>
      <w:r>
        <w:t xml:space="preserve"> to ensure recency of evidence. These limits were selected to align with current clinical guideline updates and to capture contemporary antibiotic stewardship literature.</w:t>
      </w:r>
    </w:p>
    <w:p w14:paraId="78C416F3" w14:textId="21D0789D" w:rsidR="007B6306" w:rsidRDefault="007B6306" w:rsidP="007B6306">
      <w:pPr>
        <w:spacing w:line="480" w:lineRule="auto"/>
        <w:ind w:firstLine="720"/>
        <w:jc w:val="both"/>
      </w:pPr>
      <w:r>
        <w:t xml:space="preserve">The initial search </w:t>
      </w:r>
      <w:r w:rsidR="00307251">
        <w:t xml:space="preserve">resulted in </w:t>
      </w:r>
      <w:r>
        <w:t>a combined total of 171 records across all three databases: CINAHL (n = 113), Scopus (n = 54), and PubMed (n = 4). After removing duplicates</w:t>
      </w:r>
      <w:r w:rsidR="00BD69ED">
        <w:t xml:space="preserve"> </w:t>
      </w:r>
      <w:r>
        <w:t>five total, two identified manually and three via Covidence</w:t>
      </w:r>
      <w:r w:rsidR="00BD69ED">
        <w:t xml:space="preserve"> </w:t>
      </w:r>
      <w:r>
        <w:t>166 unique records were screened by title and abstract. Of these, 149 were excluded for the following reasons: not a hospitalized adult population (n = 40), did not evaluate procalcitonin or an antibiotic stewardship intervention (n = 35), did not report outcomes of interest such as antibiotic use, appropriateness, or multidrug-resistant organism (MDRO) acquisition (n = 30), not primary research studies including reviews, editorials, or case reports (n = 25), and not related to community-acquired pneumonia (n = 19).</w:t>
      </w:r>
    </w:p>
    <w:p w14:paraId="15B163FD" w14:textId="77777777" w:rsidR="007B6306" w:rsidRDefault="007B6306" w:rsidP="007B6306">
      <w:pPr>
        <w:spacing w:line="480" w:lineRule="auto"/>
        <w:ind w:firstLine="720"/>
        <w:jc w:val="both"/>
      </w:pPr>
      <w:r>
        <w:t xml:space="preserve">Seventeen studies were sought for retrieval and assessed for full-text eligibility. Following full-text review, 14 additional studies were excluded: wrong outcomes (n = 4), wrong indication </w:t>
      </w:r>
      <w:r>
        <w:lastRenderedPageBreak/>
        <w:t>(n = 1), wrong intervention (n = 1), wrong study design (n = 4), and wrong patient population (n = 4). Three studies met all inclusion criteria and were included in the final review. No additional studies from reference lists or other sources were added. This process is documented in the attached PRISMA 2020 flow diagram (see Appendix A).</w:t>
      </w:r>
    </w:p>
    <w:p w14:paraId="51559030" w14:textId="77777777" w:rsidR="007B6306" w:rsidRDefault="007B6306" w:rsidP="007B6306">
      <w:pPr>
        <w:spacing w:line="480" w:lineRule="auto"/>
        <w:ind w:firstLine="720"/>
        <w:jc w:val="both"/>
      </w:pPr>
      <w:r>
        <w:t>Inclusion criteria for this review required that studies: (1) enrolled adult patients (18 years or older) hospitalized with a clinical and/or radiologic diagnosis of CAP, (2) evaluated a PCT-guided or PCT-informed antibiotic intervention compared with a control group receiving standard care, (3) reported at least one outcome related to antibiotic use (e.g., duration, total days of therapy, antibiotic-free days), and (4) used a primary research design (RCT or prospective cohort). Studies were excluded if they focused exclusively on outpatient or ICU-only populations without broader CAP representation, enrolled immunocompromised or pediatric patients as the primary population, or evaluated PCT in non-antibiotic contexts such as diagnostic triage alone.</w:t>
      </w:r>
    </w:p>
    <w:p w14:paraId="5A8972E1" w14:textId="77777777" w:rsidR="007B6306" w:rsidRDefault="007B6306" w:rsidP="007B6306">
      <w:pPr>
        <w:spacing w:line="480" w:lineRule="auto"/>
        <w:ind w:firstLine="720"/>
        <w:jc w:val="both"/>
      </w:pPr>
      <w:r>
        <w:t>Data extraction was performed using a standardized Table of Evidence (TOE), which is presented as Appendix B. The TOE was used to systematically organize and compare the following variables across studies: citation and study design, purpose, sample size and setting, independent and dependent variables, key findings, strengths and limitations, implications for practice and research, and quality of evidence rated using the Johns Hopkins Evidence-Based Practice (JHEBP) model. The TOE facilitated structured comparison and contrast of the three included studies, which form the basis for the Results section of this review.</w:t>
      </w:r>
    </w:p>
    <w:p w14:paraId="6608FBBA" w14:textId="77777777" w:rsidR="007B6306" w:rsidRDefault="007B6306" w:rsidP="007B6306">
      <w:r>
        <w:br w:type="page"/>
      </w:r>
    </w:p>
    <w:p w14:paraId="01ADEE2F" w14:textId="77777777" w:rsidR="007B6306" w:rsidRPr="00307251" w:rsidRDefault="007B6306" w:rsidP="00307251">
      <w:pPr>
        <w:pStyle w:val="Heading1"/>
        <w:jc w:val="center"/>
        <w:rPr>
          <w:b/>
          <w:color w:val="auto"/>
          <w:sz w:val="24"/>
          <w:szCs w:val="24"/>
        </w:rPr>
      </w:pPr>
      <w:r w:rsidRPr="00307251">
        <w:rPr>
          <w:b/>
          <w:color w:val="auto"/>
          <w:sz w:val="24"/>
          <w:szCs w:val="24"/>
        </w:rPr>
        <w:lastRenderedPageBreak/>
        <w:t>Results</w:t>
      </w:r>
    </w:p>
    <w:p w14:paraId="08972BDD" w14:textId="77777777" w:rsidR="007B6306" w:rsidRDefault="007B6306" w:rsidP="007B6306">
      <w:pPr>
        <w:spacing w:line="480" w:lineRule="auto"/>
        <w:ind w:firstLine="720"/>
        <w:jc w:val="both"/>
      </w:pPr>
      <w:r>
        <w:t>Three randomized controlled trials meeting full inclusion criteria were identified through the systematic search process. All three studies were rated as Level I, Quality A evidence using the JHEBP model, indicating well-designed RCTs with consistent results, adequate sample sizes, and minimal bias. The following sections compare and contrast these studies according to patient populations, study methods, and outcomes.</w:t>
      </w:r>
    </w:p>
    <w:p w14:paraId="2A7A65E6" w14:textId="77777777" w:rsidR="007B6306" w:rsidRPr="00307251" w:rsidRDefault="007B6306" w:rsidP="00307251">
      <w:pPr>
        <w:pStyle w:val="Heading2"/>
        <w:rPr>
          <w:b/>
          <w:color w:val="auto"/>
          <w:sz w:val="24"/>
          <w:szCs w:val="24"/>
        </w:rPr>
      </w:pPr>
      <w:r w:rsidRPr="00307251">
        <w:rPr>
          <w:b/>
          <w:color w:val="auto"/>
          <w:sz w:val="24"/>
          <w:szCs w:val="24"/>
        </w:rPr>
        <w:t>Patient Populations</w:t>
      </w:r>
    </w:p>
    <w:p w14:paraId="34A40442" w14:textId="77777777" w:rsidR="007B6306" w:rsidRDefault="007B6306" w:rsidP="007B6306">
      <w:pPr>
        <w:spacing w:line="480" w:lineRule="auto"/>
        <w:ind w:firstLine="720"/>
        <w:jc w:val="both"/>
      </w:pPr>
      <w:r>
        <w:t>The three included studies enrolled a combined total of 1,186 adult participants across diverse acute care settings in Europe, providing a reasonable representation of hospitalized adult patients with CAP. Voiriot et al. (2025) enrolled 406 patients, of whom 385 were analyzed (188 intervention, 197 control), across 20 intensive care units in France between 2018 and 2022. This study was distinguished by its exclusive focus on critically ill patients with severe CAP admitted directly to the ICU, excluding immunocompromised individuals, thereby representing a high-acuity subgroup within the broader CAP population. In contrast, Duijkers et al. (2024) enrolled 468 adult participants (156 per arm) across three Dutch teaching hospitals between 2013 and 2016, specifically targeting non-ICU ward-based CAP patients with radiologically confirmed pneumonia. This study excluded patients with severe immunosuppression, active neoplastic disease, obstruction pneumonia, and aspiration pneumonia, thereby capturing a population reflecting the more typical hospitalized CAP patient seen on general medicine wards. Uranga et al. (2020) enrolled 312 patients (150 control, 162 intervention), drawn from a multicenter cohort of patients in Spain who had previously participated in a clinical trial evaluating antibiotic duration based on clinical stability criteria; this study then extended follow-up to one year to assess long-term complications.</w:t>
      </w:r>
    </w:p>
    <w:p w14:paraId="13442F29" w14:textId="77777777" w:rsidR="007B6306" w:rsidRDefault="007B6306" w:rsidP="007B6306">
      <w:pPr>
        <w:spacing w:line="480" w:lineRule="auto"/>
        <w:ind w:firstLine="720"/>
        <w:jc w:val="both"/>
      </w:pPr>
      <w:r>
        <w:lastRenderedPageBreak/>
        <w:t>Regarding demographics, all three trials focused on adult patients aged 18 years and older. The Voiriot et al. (2025) sample represented the most medically complex population, with patients meeting criteria for severe CAP requiring ICU-level care. Uranga et al. (2020) employed the Pneumonia Severity Index (PSI) to characterize baseline severity and used the Charlson comorbidity index to assess the burden of chronic illness at enrollment. Duijkers et al. (2024) similarly described participants with CAP confirmed by chest radiograph and excluded those with conditions that could confound biomarker interpretation, such as aspiration and obstructive etiologies. While no study stratified results by age or sex as primary variables, all three populations reflected the typical adult general medicine or ICU CAP patient, making findings applicable across the spectrum of hospitalized adults encountered in AG-ACNP practice.</w:t>
      </w:r>
    </w:p>
    <w:p w14:paraId="39D1E530" w14:textId="77777777" w:rsidR="007B6306" w:rsidRPr="00F70EC1" w:rsidRDefault="007B6306" w:rsidP="00307251">
      <w:pPr>
        <w:pStyle w:val="Heading2"/>
        <w:rPr>
          <w:b/>
          <w:color w:val="auto"/>
          <w:sz w:val="24"/>
          <w:szCs w:val="24"/>
        </w:rPr>
      </w:pPr>
      <w:r w:rsidRPr="00F70EC1">
        <w:rPr>
          <w:b/>
          <w:color w:val="auto"/>
          <w:sz w:val="24"/>
          <w:szCs w:val="24"/>
        </w:rPr>
        <w:t>Study Methods</w:t>
      </w:r>
    </w:p>
    <w:p w14:paraId="445247DA" w14:textId="77777777" w:rsidR="007B6306" w:rsidRDefault="007B6306" w:rsidP="007B6306">
      <w:pPr>
        <w:spacing w:line="480" w:lineRule="auto"/>
        <w:ind w:firstLine="720"/>
        <w:jc w:val="both"/>
      </w:pPr>
      <w:r>
        <w:t xml:space="preserve">All three studies employed randomized controlled trial designs, consistent with their Level I evidence classification. Voiriot et al. (2025), the MULTI-CAP trial, was a multicenter, parallel-group, open-label, superiority RCT conducted across 20 French ICUs. The intervention arm received a combined diagnostic and therapeutic strategy integrating a broad-spectrum respiratory multiplex polymerase chain reaction (mPCR) test alongside PCT-guided antibiotic discontinuation using a standardized algorithm. The control arm received standard care with PCT-guided antibiotic discontinuation only, without mPCR augmentation. Thus, the comparison in this study was specifically between an mPCR-plus-PCT strategy versus PCT guidance alone, rather than PCT versus no biomarker guidance. Duijkers et al. (2024) used a three-arm, parallel-group, open-label, multicenter RCT design in which participants were randomly assigned in a 1:1:1 ratio to PCT-guided discontinuation, CRP-guided discontinuation, or standard care (physician-directed based on national Dutch guidelines). Treatment in the PCT arm was discontinued when serum PCT fell below 0.25 ng/mL or declined by more than 80% from the admission value; in the CRP arm, </w:t>
      </w:r>
      <w:r>
        <w:lastRenderedPageBreak/>
        <w:t>antibiotics were discontinued when CRP fell below 100 mg/L or similarly declined by more than 80%. Biomarker assessments were performed at admission, day four, and days five through seven if indicated. Uranga et al. (2020) used a multicenter cohort study design to evaluate 1-year outcomes in patients previously enrolled in an RCT validating the IDSA/ATS clinical stability criteria for antibiotic duration. In the parent trial, the intervention group received antibiotics for a minimum of five days with discontinuation guided by clinical stability criteria, while control patients received physician-directed antibiotic courses. The subsequent study by Uranga et al. (2020) extended the observation period to 12 months to assess mortality, hospital readmissions, and cardiovascular events, with a subanalysis incorporating CRP, PCT, and proadrenomedullin (proADM) biomarkers at admission, day five, and day 30.</w:t>
      </w:r>
    </w:p>
    <w:p w14:paraId="239B5D73" w14:textId="77777777" w:rsidR="007B6306" w:rsidRDefault="007B6306" w:rsidP="007B6306">
      <w:pPr>
        <w:spacing w:line="480" w:lineRule="auto"/>
        <w:ind w:firstLine="720"/>
        <w:jc w:val="both"/>
      </w:pPr>
      <w:r>
        <w:t>The primary independent variable across all three studies was the antibiotic management strategy: PCT-guided (or PCT-combined) versus standard care. Dependent variables consistently included measures of antibiotic exposure, though specific primary endpoints varied. Voiriot et al. (2025) defined the primary endpoint as the number of days alive without antibiotics by day 28. Duijkers et al. (2024) used total antibiotic treatment days through day 30 as the primary outcome. Uranga et al. (2020) focused on 1-year mortality, hospital readmission, and cardiovascular complications as primary endpoints, with biomarker levels as secondary variables informing safety of early discontinuation.</w:t>
      </w:r>
    </w:p>
    <w:p w14:paraId="1A5CC3CB" w14:textId="77777777" w:rsidR="007B6306" w:rsidRPr="00F70EC1" w:rsidRDefault="007B6306" w:rsidP="00F70EC1">
      <w:pPr>
        <w:pStyle w:val="Heading2"/>
        <w:rPr>
          <w:b/>
          <w:color w:val="auto"/>
          <w:sz w:val="24"/>
          <w:szCs w:val="24"/>
        </w:rPr>
      </w:pPr>
      <w:r w:rsidRPr="00F70EC1">
        <w:rPr>
          <w:b/>
          <w:color w:val="auto"/>
          <w:sz w:val="24"/>
          <w:szCs w:val="24"/>
        </w:rPr>
        <w:t>Outcomes</w:t>
      </w:r>
    </w:p>
    <w:p w14:paraId="73D0135E" w14:textId="77777777" w:rsidR="007B6306" w:rsidRDefault="007B6306" w:rsidP="007B6306">
      <w:pPr>
        <w:spacing w:line="480" w:lineRule="auto"/>
        <w:ind w:firstLine="720"/>
        <w:jc w:val="both"/>
      </w:pPr>
      <w:r>
        <w:t xml:space="preserve">Across the three studies, PCT-guided antibiotic strategies were consistently associated with reductions in total antibiotic duration, though the magnitude and statistical significance of these reductions varied by clinical setting and study design. Duijkers et al. (2024) demonstrated the most robust reduction in antibiotic duration in a non-ICU hospitalized CAP population. Median total antibiotic days were seven days in the standard care group, five and a half days in the PCT group </w:t>
      </w:r>
      <w:r>
        <w:lastRenderedPageBreak/>
        <w:t>(rate ratio [RR] 0.78, 95% CI 0.68–0.89, p &lt; 0.001), and four days in the CRP group (RR 0.70, 95% CI 0.61–0.82, p &lt; 0.001). Notably, no statistically significant differences in time to clinical stability, length of hospital stay, 30-day mortality, or clinical failure were observed between the groups, supporting the safety of biomarker-guided early discontinuation in this setting. The CRP algorithm demonstrated an even greater reduction than PCT alone in this cohort.</w:t>
      </w:r>
    </w:p>
    <w:p w14:paraId="1083E813" w14:textId="77777777" w:rsidR="007B6306" w:rsidRDefault="007B6306" w:rsidP="007B6306">
      <w:pPr>
        <w:spacing w:line="480" w:lineRule="auto"/>
        <w:ind w:firstLine="720"/>
        <w:jc w:val="both"/>
      </w:pPr>
      <w:r>
        <w:t>Voiriot et al. (2025) reported more modest results in the ICU population. The median number of days alive without antibiotics at day 28 was 19.0 days in both the intervention and control groups (p = 0.70), indicating no statistically significant difference in the primary endpoint between the mPCR-plus-PCT strategy and PCT-alone standard care. However, the cumulative antibiotic duration was approximately three days shorter in the intervention group (95% CI –5.1 to –0.9), suggesting a modest absolute reduction in antibiotic exposure. No differences in 28-day mortality or serious adverse events were detected between groups. Algorithm adherence was 75%, and the authors noted that the use of PCT guidance in both arms may have minimized measurable between-group differences, given that the control group also benefited from PCT-guided discontinuation as part of standard care in this trial's context.</w:t>
      </w:r>
    </w:p>
    <w:p w14:paraId="3394E02E" w14:textId="77777777" w:rsidR="00F70EC1" w:rsidRDefault="007B6306" w:rsidP="00F70EC1">
      <w:pPr>
        <w:spacing w:line="480" w:lineRule="auto"/>
        <w:ind w:firstLine="720"/>
        <w:jc w:val="both"/>
      </w:pPr>
      <w:r>
        <w:t xml:space="preserve">Uranga et al. (2020) examined the long-term safety of reduced antibiotic duration at one year post-hospitalization. Among 312 participants, 1-year mortality was 14 (4.50%) in the intervention group versus 10 (3.22%) in the control group (OR adjusted 1.04, 95% CI 0.33–3.26, p = 0.94), with no statistically significant difference between groups. New hospital admissions within one year were also similar between groups (27.01% control vs. 25.52% intervention, p = 0.84). Cardiovascular event rates at one year did not differ significantly (10.74% control vs. 14.38% intervention, p = 0.33). The subanalysis examining biomarker kinetics from day five to day 30 revealed no statistically significant differences in CRP (p = 0.29), PCT (p = 0.44), or </w:t>
      </w:r>
      <w:r>
        <w:lastRenderedPageBreak/>
        <w:t>proADM (p = 0.52) trajectory between groups, suggesting that shorter antibiotic courses guided by clinical stability criteria did not result in residual or ongoing inflammation at 30 days. These findings collectively support the conclusion that reducing antibiotic duration in hospitalized CAP patients does not increase the risk of long-term complications.</w:t>
      </w:r>
    </w:p>
    <w:p w14:paraId="157AEEAA" w14:textId="16CD48CD" w:rsidR="007B6306" w:rsidRPr="00F80582" w:rsidRDefault="007B6306" w:rsidP="00EA01E3">
      <w:pPr>
        <w:pStyle w:val="Heading1"/>
        <w:jc w:val="center"/>
        <w:rPr>
          <w:b/>
          <w:sz w:val="24"/>
          <w:szCs w:val="24"/>
        </w:rPr>
      </w:pPr>
      <w:r w:rsidRPr="00F80582">
        <w:rPr>
          <w:b/>
          <w:color w:val="auto"/>
          <w:sz w:val="24"/>
          <w:szCs w:val="24"/>
        </w:rPr>
        <w:t>Discussion</w:t>
      </w:r>
    </w:p>
    <w:p w14:paraId="2822BE96" w14:textId="77777777" w:rsidR="007B6306" w:rsidRDefault="007B6306" w:rsidP="007B6306">
      <w:pPr>
        <w:spacing w:line="480" w:lineRule="auto"/>
        <w:ind w:firstLine="720"/>
        <w:jc w:val="both"/>
      </w:pPr>
      <w:r>
        <w:t>The collective findings of this systematic review provide meaningful and clinically relevant evidence regarding the role of PCT in guiding antibiotic therapy for hospitalized CAP patients. The three included RCTs, all rated as Level I, Quality A using the JHEBP model, consistently demonstrated that PCT-guided antibiotic strategies are safe and feasible in adult hospitalized CAP populations. Specifically, PCT guidance was associated with significant antibiotic duration reductions in non-ICU settings (Duijkers et al., 2024), a modest cumulative reduction in ICU settings when combined with mPCR (Voiriot et al., 2025), and no increase in long-term mortality, readmissions, or cardiovascular events (Uranga et al., 2020). Taken together, these findings support the integration of PCT into antibiotic stewardship protocols for hospitalized CAP patients in acute care settings.</w:t>
      </w:r>
    </w:p>
    <w:p w14:paraId="57F63743" w14:textId="77777777" w:rsidR="007B6306" w:rsidRDefault="007B6306" w:rsidP="007B6306">
      <w:pPr>
        <w:spacing w:line="480" w:lineRule="auto"/>
        <w:ind w:firstLine="720"/>
        <w:jc w:val="both"/>
      </w:pPr>
      <w:r>
        <w:t xml:space="preserve">A notable strength of this body of evidence is its consistency across diverse clinical settings and geographic contexts, including non-ICU wards in the Netherlands (Duijkers et al., 2024), ICUs in France (Voiriot et al., 2025), and general medicine wards in Spain (Uranga et al., 2020). This geographic and clinical breadth strengthens the generalizability of the findings across European healthcare contexts. All three studies used well-established RCT methodology with pre-specified endpoints, intention-to-treat analyses, and adequate sample sizes, lending high internal validity to the results. Furthermore, the evidence of safety is particularly compelling: no study demonstrated a statistically significant increase in mortality, clinical instability, or treatment failure associated with PCT-guided antibiotic de-escalation. The extended 1-year follow-up in Uranga et al. (2020) </w:t>
      </w:r>
      <w:r>
        <w:lastRenderedPageBreak/>
        <w:t>addresses a critical gap in prior literature by demonstrating durable safety beyond the acute hospitalization period.</w:t>
      </w:r>
    </w:p>
    <w:p w14:paraId="1BB2FD14" w14:textId="14417FE5" w:rsidR="007B6306" w:rsidRDefault="007B6306" w:rsidP="007B6306">
      <w:pPr>
        <w:spacing w:line="480" w:lineRule="auto"/>
        <w:ind w:firstLine="720"/>
        <w:jc w:val="both"/>
      </w:pPr>
      <w:r>
        <w:t>Differences in findings across studies are largely explained by differences in clinical context and study design. Duijkers et al. (2024) studied a lower-acuity non-ICU population and achieved the largest and most statistically significant reductions in antibiotic duration, which is consistent with the notion that PCT-guided algorithms perform best when baseline bacterial infection probability is moderate and patients are clinically stable enough to respond promptly to effective treatment. By contrast, Voiriot et al. (2025) studied critically ill ICU patients with severe CAP, a population in whom antibiotic decision-making is inherently more complex, pathogen profiles are more heterogeneous, and PCT kinetics may be confounded by factors such as septic shock, vasopressor use, and renal dysfunction. The lack of a statistically significant primary endpoint in Voiriot et al. (2025) is also attributable to the fact that PCT guidance was provided to both the intervention and control groups, which attenuated the measurable difference and effectively limited the comparator to PCT alone versus mPCR-plus-PCT. Finally, Uranga et al. (2020) did not use PCT as a prospective guide for antibiotic duration in the parent trial; rather, clinical stability criteria drove antibiotic discontinuation, with PCT measured as a secondary biomarker</w:t>
      </w:r>
      <w:r w:rsidR="00A52851">
        <w:t xml:space="preserve"> </w:t>
      </w:r>
      <w:r>
        <w:t xml:space="preserve">a methodological </w:t>
      </w:r>
      <w:r w:rsidR="00F80582">
        <w:t>consideration</w:t>
      </w:r>
      <w:r>
        <w:t xml:space="preserve"> that limits direct comparability with the other two trials.</w:t>
      </w:r>
    </w:p>
    <w:p w14:paraId="3CA3A5C8" w14:textId="3DECD7E2" w:rsidR="007B6306" w:rsidRDefault="007B6306" w:rsidP="007B6306">
      <w:pPr>
        <w:spacing w:line="480" w:lineRule="auto"/>
        <w:ind w:firstLine="720"/>
        <w:jc w:val="both"/>
      </w:pPr>
      <w:r>
        <w:t>Several limitations of this review's search process merit acknowledgment. The search was restricted to three databases (CINAHL, Scopus, and PubMed), and while these represent major repositories of nursing, biomedical, and clinical literature, other relevant studies indexed solely in MEDLINE, EMBASE, or the Cochrane Central Register of Controlled Trials may have been missed. The application of a five-year recency limit (20</w:t>
      </w:r>
      <w:r w:rsidR="00F80582">
        <w:t>20</w:t>
      </w:r>
      <w:r>
        <w:t>–202</w:t>
      </w:r>
      <w:r w:rsidR="00F80582">
        <w:t>5</w:t>
      </w:r>
      <w:r>
        <w:t>), while appropriate for capturing contemporary evidence, may have excluded important foundational RCTs published prior to 2</w:t>
      </w:r>
      <w:r w:rsidR="00F80582">
        <w:t>020</w:t>
      </w:r>
      <w:r>
        <w:t xml:space="preserve">, </w:t>
      </w:r>
      <w:r>
        <w:lastRenderedPageBreak/>
        <w:t>several of which were landmark studies in PCT-guided antibiotic stewardship. The search was limited to English-language publications, introducing potential language bias. Additionally, the review identified only three studies meeting full eligibility criteria, and while all three are high-quality RCTs, the small number of included studies limits the ability to draw pooled quantitative conclusions.</w:t>
      </w:r>
    </w:p>
    <w:p w14:paraId="6D1BC85D" w14:textId="08FB037E" w:rsidR="007B6306" w:rsidRDefault="007B6306" w:rsidP="007B6306">
      <w:pPr>
        <w:spacing w:line="480" w:lineRule="auto"/>
        <w:ind w:firstLine="720"/>
        <w:jc w:val="both"/>
      </w:pPr>
      <w:r>
        <w:t>Limitations of the individual studies also warrant consideration. Both Duijkers et al. (2024) and Voiriot et al. (2025) used open-label designs, which introduce the risk of performance bias, as treating clinicians were aware of biomarker results and group allocation. The Voiriot et al. (2025) study was conducted exclusively in French ICUs with a low prevalence of methicillin-resistant Staphylococcus aureus (MRSA), limiting generalizability to high-resistance settings such as many U.S. acute care hospitals. Uranga et al. (2020) relied on a historical RCT cohort with extended observational follow-up, which introduces the risk of loss to follow-up bias; 13 patients were lost in the control group and three in the intervention group at one year. The Duijkers et al. (2024) study enrolled patients on hospital days two through three, which may have selected for a milder CAP subgroup, as the most severely ill patients would have been transferred to the ICU or experienced early clinical events prior to randomization. The low mortality rates in Duijkers et al. (2024)</w:t>
      </w:r>
      <w:r w:rsidR="00F80582">
        <w:t xml:space="preserve"> </w:t>
      </w:r>
      <w:r>
        <w:t>1.3% in both the control and CRP groups, and 3.2% in the PCT group</w:t>
      </w:r>
      <w:r w:rsidR="00F80582">
        <w:t xml:space="preserve"> </w:t>
      </w:r>
      <w:r>
        <w:t>limit the power to detect mortality-related differences.</w:t>
      </w:r>
    </w:p>
    <w:p w14:paraId="5DE28867" w14:textId="4AC1B9E6" w:rsidR="007B6306" w:rsidRDefault="007B6306" w:rsidP="007B6306">
      <w:pPr>
        <w:spacing w:line="480" w:lineRule="auto"/>
        <w:ind w:firstLine="720"/>
        <w:jc w:val="both"/>
      </w:pPr>
      <w:r>
        <w:t>Based on a comprehensive risk-benefit analysis of the available evidence, a recommendation for a change in clinical practice is warranted for non-ICU hospitalized CAP patients. The evidence from Duijkers et al. (2024) and Uranga et al. (2020) demonstrates that biomarker-guided</w:t>
      </w:r>
      <w:r w:rsidR="00F80582">
        <w:t xml:space="preserve"> </w:t>
      </w:r>
      <w:r>
        <w:t>and specifically PCT-guided</w:t>
      </w:r>
      <w:r w:rsidR="00F80582">
        <w:t xml:space="preserve"> </w:t>
      </w:r>
      <w:r>
        <w:t xml:space="preserve">antibiotic discontinuation safely reduces antibiotic duration by approximately 1.5 to 3 days in hospitalized adults with CAP on general medicine </w:t>
      </w:r>
      <w:r>
        <w:lastRenderedPageBreak/>
        <w:t>wards, without increasing mortality, clinical failure, or long-term complications. For AGACNPs practicing in acute care settings, implementing PCT-guided algorithms as a standard component of antibiotic stewardship for CAP patients on non-ICU wards is both evidence-based and clinically actionable. For critically ill ICU patients with severe CAP, the evidence is less definitive; PCT guidance in this population is reasonable and may reduce cumulative antibiotic exposure modestly, but should be applied with clinical judgment, recognition of pathogen-specific considerations, and in collaboration with infectious disease specialists and intensivists. In settings with high rates of MRSA or highly resistant organisms, the applicability of PCT algorithms may be further limited and warrants institutional adaptation.</w:t>
      </w:r>
    </w:p>
    <w:p w14:paraId="5697B18E" w14:textId="77777777" w:rsidR="007B6306" w:rsidRDefault="007B6306" w:rsidP="007B6306">
      <w:r>
        <w:br w:type="page"/>
      </w:r>
    </w:p>
    <w:p w14:paraId="14838222" w14:textId="77777777" w:rsidR="007B6306" w:rsidRPr="00F80582" w:rsidRDefault="007B6306" w:rsidP="00F80582">
      <w:pPr>
        <w:pStyle w:val="Heading1"/>
        <w:jc w:val="center"/>
        <w:rPr>
          <w:b/>
          <w:color w:val="auto"/>
          <w:sz w:val="24"/>
          <w:szCs w:val="24"/>
        </w:rPr>
      </w:pPr>
      <w:r w:rsidRPr="00F80582">
        <w:rPr>
          <w:b/>
          <w:color w:val="auto"/>
          <w:sz w:val="24"/>
          <w:szCs w:val="24"/>
        </w:rPr>
        <w:lastRenderedPageBreak/>
        <w:t>Conclusion</w:t>
      </w:r>
    </w:p>
    <w:p w14:paraId="14241B43" w14:textId="77777777" w:rsidR="007B6306" w:rsidRDefault="007B6306" w:rsidP="007B6306">
      <w:pPr>
        <w:spacing w:line="480" w:lineRule="auto"/>
        <w:ind w:firstLine="720"/>
        <w:jc w:val="both"/>
      </w:pPr>
      <w:r>
        <w:t>This systematic review provides compelling and timely evidence that procalcitonin-guided antibiotic strategies represent a safe and effective approach to reducing antibiotic duration in adult patients hospitalized with community-acquired pneumonia, particularly in non-ICU settings. At a time when antimicrobial resistance is recognized as a global health emergency and antibiotic stewardship is a clinical and regulatory imperative, integrating objective biomarker-guided algorithms into the management of CAP offers a practical and evidence-informed solution. The findings of this review are directly relevant to adult-gerontology acute care nurse practitioners, who are ideally positioned to drive stewardship efforts at the bedside by interpreting PCT trends, applying evidence-based discontinuation algorithms, and advocating for individualized, data-driven antibiotic prescribing.</w:t>
      </w:r>
    </w:p>
    <w:p w14:paraId="483682B3" w14:textId="110D46A7" w:rsidR="007B6306" w:rsidRDefault="007B6306" w:rsidP="007B6306">
      <w:pPr>
        <w:spacing w:line="480" w:lineRule="auto"/>
        <w:ind w:firstLine="720"/>
        <w:jc w:val="both"/>
      </w:pPr>
      <w:r>
        <w:t>Across the three included RCTs, PCT-guided protocols consistently demonstrated safety with respect to mortality, clinical relapse, hospital readmission, and long-term outcomes, and were associated with meaningful reductions in total antibiotic exposure in non-critically ill hospitalized patients. These findings reinforce the clinical value of PCT as a complement</w:t>
      </w:r>
      <w:r w:rsidR="00F80582">
        <w:t xml:space="preserve"> </w:t>
      </w:r>
      <w:r>
        <w:t>not a replacement</w:t>
      </w:r>
      <w:r w:rsidR="00F80582">
        <w:t xml:space="preserve"> </w:t>
      </w:r>
      <w:r>
        <w:t>to clinical judgment in the management of CAP. The interpretation of PCT must always occur within the context of the patient's overall clinical trajectory, comorbidities, causative pathogen, and institutional resistance patterns.</w:t>
      </w:r>
    </w:p>
    <w:p w14:paraId="6E40F10E" w14:textId="775A1A92" w:rsidR="007B6306" w:rsidRDefault="007B6306" w:rsidP="007B6306">
      <w:pPr>
        <w:spacing w:line="480" w:lineRule="auto"/>
        <w:ind w:firstLine="720"/>
        <w:jc w:val="both"/>
      </w:pPr>
      <w:r>
        <w:t xml:space="preserve">Two priority areas for future research are identified based on the gaps observed in this review. First, there is a need for prospective RCTs specifically designed to evaluate PCT-guided antibiotic stewardship in immunocompromised hospitalized patients with CAP, including those receiving immunosuppressive therapy, solid organ transplant recipients, and patients with hematologic malignancies. PCT kinetics in these populations may be attenuated or unpredictable, and existing evidence does not adequately address whether standard PCT thresholds are safe or </w:t>
      </w:r>
      <w:r>
        <w:lastRenderedPageBreak/>
        <w:t>effective in guiding discontinuation decisions in this high-risk group. Second, future studies should evaluate the effectiveness and safety of PCT-guided algorithms in healthcare settings with high baseline rates of antimicrobial resistance, including those with elevated MRSA prevalence and multidrug-resistant gram-negative organisms. The current evidence base is drawn almost exclusively from low-resistance European healthcare environments, and direct applicability to U.S. acute care hospitals</w:t>
      </w:r>
      <w:r w:rsidR="00F80582">
        <w:t xml:space="preserve"> </w:t>
      </w:r>
      <w:r>
        <w:t>where resistance patterns differ substantially</w:t>
      </w:r>
      <w:r w:rsidR="00F80582">
        <w:t xml:space="preserve"> </w:t>
      </w:r>
      <w:r>
        <w:t>remains uncertain. Addressing these research questions will be critical to ensuring equitable and effective implementation of PCT-guided stewardship across diverse patient populations and clinical contexts.</w:t>
      </w:r>
    </w:p>
    <w:p w14:paraId="608D28C7" w14:textId="2262521B" w:rsidR="007B6306" w:rsidRDefault="007B6306" w:rsidP="007B6306">
      <w:pPr>
        <w:spacing w:line="480" w:lineRule="auto"/>
        <w:ind w:firstLine="720"/>
        <w:jc w:val="both"/>
      </w:pPr>
    </w:p>
    <w:p w14:paraId="30F49A4B" w14:textId="32D009D6" w:rsidR="007B6306" w:rsidRDefault="007B6306" w:rsidP="007B6306">
      <w:pPr>
        <w:spacing w:line="480" w:lineRule="auto"/>
        <w:ind w:firstLine="720"/>
        <w:jc w:val="both"/>
      </w:pPr>
    </w:p>
    <w:p w14:paraId="7216215E" w14:textId="560B100E" w:rsidR="007B6306" w:rsidRDefault="007B6306" w:rsidP="007B6306">
      <w:pPr>
        <w:spacing w:line="480" w:lineRule="auto"/>
        <w:ind w:firstLine="720"/>
        <w:jc w:val="both"/>
      </w:pPr>
    </w:p>
    <w:p w14:paraId="0173BB23" w14:textId="4FDEDD38" w:rsidR="007B6306" w:rsidRDefault="007B6306" w:rsidP="007B6306">
      <w:pPr>
        <w:spacing w:line="480" w:lineRule="auto"/>
        <w:ind w:firstLine="720"/>
        <w:jc w:val="both"/>
      </w:pPr>
    </w:p>
    <w:p w14:paraId="33D98D54" w14:textId="3C0FA89B" w:rsidR="007B6306" w:rsidRDefault="007B6306" w:rsidP="007B6306">
      <w:pPr>
        <w:spacing w:line="480" w:lineRule="auto"/>
        <w:ind w:firstLine="720"/>
        <w:jc w:val="both"/>
      </w:pPr>
    </w:p>
    <w:p w14:paraId="3FC41B06" w14:textId="614D916A" w:rsidR="007B6306" w:rsidRDefault="007B6306" w:rsidP="007B6306">
      <w:pPr>
        <w:spacing w:line="480" w:lineRule="auto"/>
        <w:ind w:firstLine="720"/>
        <w:jc w:val="both"/>
      </w:pPr>
    </w:p>
    <w:p w14:paraId="77D08059" w14:textId="14D8C54E" w:rsidR="007B6306" w:rsidRDefault="007B6306" w:rsidP="007B6306">
      <w:pPr>
        <w:spacing w:line="480" w:lineRule="auto"/>
        <w:ind w:firstLine="720"/>
        <w:jc w:val="both"/>
      </w:pPr>
    </w:p>
    <w:p w14:paraId="5B15F543" w14:textId="746EE075" w:rsidR="007B6306" w:rsidRDefault="007B6306" w:rsidP="007B6306">
      <w:pPr>
        <w:spacing w:line="480" w:lineRule="auto"/>
        <w:ind w:firstLine="720"/>
        <w:jc w:val="both"/>
      </w:pPr>
    </w:p>
    <w:p w14:paraId="5CA5CF87" w14:textId="601764F4" w:rsidR="007B6306" w:rsidRDefault="007B6306" w:rsidP="007B6306">
      <w:pPr>
        <w:spacing w:line="480" w:lineRule="auto"/>
        <w:ind w:firstLine="720"/>
        <w:jc w:val="both"/>
      </w:pPr>
    </w:p>
    <w:p w14:paraId="7C88C897" w14:textId="268454E6" w:rsidR="007B6306" w:rsidRDefault="007B6306" w:rsidP="007B6306">
      <w:pPr>
        <w:spacing w:line="480" w:lineRule="auto"/>
        <w:ind w:firstLine="720"/>
        <w:jc w:val="both"/>
      </w:pPr>
    </w:p>
    <w:p w14:paraId="3DB9C1C3" w14:textId="1A4B3740" w:rsidR="007B6306" w:rsidRDefault="007B6306" w:rsidP="007B6306">
      <w:pPr>
        <w:spacing w:line="480" w:lineRule="auto"/>
        <w:ind w:firstLine="720"/>
        <w:jc w:val="both"/>
      </w:pPr>
    </w:p>
    <w:p w14:paraId="52934AD2" w14:textId="77AA3972" w:rsidR="007B6306" w:rsidRDefault="007B6306" w:rsidP="007B6306">
      <w:pPr>
        <w:spacing w:line="480" w:lineRule="auto"/>
        <w:ind w:firstLine="720"/>
        <w:jc w:val="both"/>
      </w:pPr>
    </w:p>
    <w:p w14:paraId="586ABE7A" w14:textId="121A3619" w:rsidR="007B6306" w:rsidRDefault="007B6306" w:rsidP="007B6306">
      <w:pPr>
        <w:spacing w:line="480" w:lineRule="auto"/>
        <w:ind w:firstLine="720"/>
        <w:jc w:val="both"/>
      </w:pPr>
    </w:p>
    <w:p w14:paraId="129A2684" w14:textId="77777777" w:rsidR="007B6306" w:rsidRDefault="007B6306" w:rsidP="007B6306">
      <w:pPr>
        <w:spacing w:line="480" w:lineRule="auto"/>
        <w:ind w:firstLine="720"/>
        <w:jc w:val="both"/>
      </w:pPr>
    </w:p>
    <w:p w14:paraId="7D0CFBAF" w14:textId="77777777" w:rsidR="007B6306" w:rsidRPr="00F80582" w:rsidRDefault="007B6306" w:rsidP="00F80582">
      <w:pPr>
        <w:pStyle w:val="Heading1"/>
        <w:jc w:val="center"/>
        <w:rPr>
          <w:b/>
          <w:color w:val="auto"/>
          <w:sz w:val="24"/>
          <w:szCs w:val="24"/>
        </w:rPr>
      </w:pPr>
      <w:r w:rsidRPr="00F80582">
        <w:rPr>
          <w:b/>
          <w:color w:val="auto"/>
          <w:sz w:val="24"/>
          <w:szCs w:val="24"/>
        </w:rPr>
        <w:lastRenderedPageBreak/>
        <w:t>References</w:t>
      </w:r>
    </w:p>
    <w:p w14:paraId="76207270" w14:textId="77777777" w:rsidR="007B6306" w:rsidRDefault="007B6306" w:rsidP="007B6306"/>
    <w:p w14:paraId="55D33B48" w14:textId="77777777" w:rsidR="007B6306" w:rsidRPr="005B0103" w:rsidRDefault="007B6306" w:rsidP="007B6306">
      <w:pPr>
        <w:spacing w:line="480" w:lineRule="auto"/>
        <w:ind w:left="720" w:hanging="720"/>
        <w:jc w:val="both"/>
        <w:rPr>
          <w:color w:val="212121"/>
          <w:shd w:val="clear" w:color="auto" w:fill="FFFFFF"/>
        </w:rPr>
      </w:pPr>
      <w:r w:rsidRPr="005B0103">
        <w:rPr>
          <w:color w:val="212121"/>
          <w:shd w:val="clear" w:color="auto" w:fill="FFFFFF"/>
        </w:rPr>
        <w:t>Duijkers, R., Prins, H. J., Kross, M., Snijders, D., van den Berg, J. W. K., Werkman, G. M., van der Veen, N., Schoorl, M., Bonten, M. J. M., van Werkhoven, C. H., &amp; Boersma, W. G. (2024). Biomarker guided antibiotic stewardship in community acquired pneumonia: A randomized controlled trial. </w:t>
      </w:r>
      <w:r w:rsidRPr="005B0103">
        <w:rPr>
          <w:i/>
          <w:iCs/>
          <w:color w:val="212121"/>
          <w:shd w:val="clear" w:color="auto" w:fill="FFFFFF"/>
        </w:rPr>
        <w:t>PloS one</w:t>
      </w:r>
      <w:r w:rsidRPr="005B0103">
        <w:rPr>
          <w:color w:val="212121"/>
          <w:shd w:val="clear" w:color="auto" w:fill="FFFFFF"/>
        </w:rPr>
        <w:t>, </w:t>
      </w:r>
      <w:r w:rsidRPr="005B0103">
        <w:rPr>
          <w:i/>
          <w:iCs/>
          <w:color w:val="212121"/>
          <w:shd w:val="clear" w:color="auto" w:fill="FFFFFF"/>
        </w:rPr>
        <w:t>19</w:t>
      </w:r>
      <w:r w:rsidRPr="005B0103">
        <w:rPr>
          <w:color w:val="212121"/>
          <w:shd w:val="clear" w:color="auto" w:fill="FFFFFF"/>
        </w:rPr>
        <w:t xml:space="preserve">(8), e0307193. </w:t>
      </w:r>
      <w:hyperlink r:id="rId7" w:history="1">
        <w:r w:rsidRPr="005B0103">
          <w:rPr>
            <w:rStyle w:val="Hyperlink"/>
            <w:shd w:val="clear" w:color="auto" w:fill="FFFFFF"/>
          </w:rPr>
          <w:t>https://doi.org/10.1371/journal.pone.0307193</w:t>
        </w:r>
      </w:hyperlink>
    </w:p>
    <w:p w14:paraId="23961818" w14:textId="77777777" w:rsidR="007B6306" w:rsidRPr="005B0103" w:rsidRDefault="007B6306" w:rsidP="007B6306">
      <w:pPr>
        <w:spacing w:line="480" w:lineRule="auto"/>
        <w:ind w:left="720" w:hanging="720"/>
        <w:jc w:val="both"/>
        <w:rPr>
          <w:color w:val="212121"/>
          <w:shd w:val="clear" w:color="auto" w:fill="FFFFFF"/>
        </w:rPr>
      </w:pPr>
      <w:r w:rsidRPr="005B0103">
        <w:rPr>
          <w:color w:val="212121"/>
          <w:shd w:val="clear" w:color="auto" w:fill="FFFFFF"/>
        </w:rPr>
        <w:t>Uranga, A., Artaraz, A., Bilbao, A., Quintana, J. M., Arriaga, I., Intxausti, M., Lobo, J. L., García, J. A., Camino, J., &amp; España, P. P. (2020). Impact of reducing the duration of antibiotic treatment on the long-term prognosis of community acquired pneumonia. </w:t>
      </w:r>
      <w:r w:rsidRPr="005B0103">
        <w:rPr>
          <w:i/>
          <w:iCs/>
          <w:color w:val="212121"/>
          <w:shd w:val="clear" w:color="auto" w:fill="FFFFFF"/>
        </w:rPr>
        <w:t>BMC pulmonary medicine</w:t>
      </w:r>
      <w:r w:rsidRPr="005B0103">
        <w:rPr>
          <w:color w:val="212121"/>
          <w:shd w:val="clear" w:color="auto" w:fill="FFFFFF"/>
        </w:rPr>
        <w:t>, </w:t>
      </w:r>
      <w:r w:rsidRPr="005B0103">
        <w:rPr>
          <w:i/>
          <w:iCs/>
          <w:color w:val="212121"/>
          <w:shd w:val="clear" w:color="auto" w:fill="FFFFFF"/>
        </w:rPr>
        <w:t>20</w:t>
      </w:r>
      <w:r w:rsidRPr="005B0103">
        <w:rPr>
          <w:color w:val="212121"/>
          <w:shd w:val="clear" w:color="auto" w:fill="FFFFFF"/>
        </w:rPr>
        <w:t xml:space="preserve">(1), 261. </w:t>
      </w:r>
      <w:hyperlink r:id="rId8" w:history="1">
        <w:r w:rsidRPr="005B0103">
          <w:rPr>
            <w:rStyle w:val="Hyperlink"/>
            <w:shd w:val="clear" w:color="auto" w:fill="FFFFFF"/>
          </w:rPr>
          <w:t>https://doi.org/10.1186/s12890-020-01293-6</w:t>
        </w:r>
      </w:hyperlink>
    </w:p>
    <w:p w14:paraId="50270984" w14:textId="77777777" w:rsidR="007B6306" w:rsidRPr="003201C3" w:rsidRDefault="007B6306" w:rsidP="007B6306">
      <w:pPr>
        <w:spacing w:line="480" w:lineRule="auto"/>
        <w:ind w:left="720" w:hanging="720"/>
        <w:jc w:val="both"/>
      </w:pPr>
      <w:r w:rsidRPr="003201C3">
        <w:rPr>
          <w:color w:val="212121"/>
          <w:shd w:val="clear" w:color="auto" w:fill="FFFFFF"/>
        </w:rPr>
        <w:t>Voiriot, G., Argaud, L., Cohen, Y., Tuffet, S., Chauvelot, L., Souweine, B., Klouche, K., Reignier, J., Schwebel, C., Rouzé, A., Mekontso Dessap, A., Bohé, J., Megarbane, B., Carvelli, J., Navellou, J. C., Gibot, S., Maury, É., Dellamonica, J., Dequin, P. F., Dessajan, J., … MULTI-CAP collaborative trial group (2025). Combined use of a multiplex PCR and serum procalcitonin to reduce antibiotic exposure in critically ill patients with community-acquired pneumonia: the MULTI-CAP randomized controlled trial. </w:t>
      </w:r>
      <w:r w:rsidRPr="003201C3">
        <w:rPr>
          <w:i/>
          <w:iCs/>
          <w:color w:val="212121"/>
          <w:shd w:val="clear" w:color="auto" w:fill="FFFFFF"/>
        </w:rPr>
        <w:t>Intensive care medicine</w:t>
      </w:r>
      <w:r w:rsidRPr="003201C3">
        <w:rPr>
          <w:color w:val="212121"/>
          <w:shd w:val="clear" w:color="auto" w:fill="FFFFFF"/>
        </w:rPr>
        <w:t>, </w:t>
      </w:r>
      <w:r w:rsidRPr="003201C3">
        <w:rPr>
          <w:i/>
          <w:iCs/>
          <w:color w:val="212121"/>
          <w:shd w:val="clear" w:color="auto" w:fill="FFFFFF"/>
        </w:rPr>
        <w:t>51</w:t>
      </w:r>
      <w:r w:rsidRPr="003201C3">
        <w:rPr>
          <w:color w:val="212121"/>
          <w:shd w:val="clear" w:color="auto" w:fill="FFFFFF"/>
        </w:rPr>
        <w:t xml:space="preserve">(8), 1417–1430. </w:t>
      </w:r>
      <w:hyperlink r:id="rId9" w:history="1">
        <w:r w:rsidRPr="00830232">
          <w:rPr>
            <w:rStyle w:val="Hyperlink"/>
            <w:shd w:val="clear" w:color="auto" w:fill="FFFFFF"/>
          </w:rPr>
          <w:t>https://doi.org/10.1007/s00134-025-08014-9</w:t>
        </w:r>
      </w:hyperlink>
      <w:r>
        <w:rPr>
          <w:color w:val="212121"/>
          <w:shd w:val="clear" w:color="auto" w:fill="FFFFFF"/>
        </w:rPr>
        <w:t xml:space="preserve"> </w:t>
      </w:r>
    </w:p>
    <w:p w14:paraId="04A4DAA8" w14:textId="77777777" w:rsidR="007B6306" w:rsidRPr="003201C3" w:rsidRDefault="007B6306" w:rsidP="007B6306">
      <w:pPr>
        <w:spacing w:line="480" w:lineRule="auto"/>
        <w:ind w:left="720" w:hanging="720"/>
        <w:jc w:val="both"/>
      </w:pPr>
      <w:r w:rsidRPr="003201C3">
        <w:rPr>
          <w:color w:val="212121"/>
          <w:shd w:val="clear" w:color="auto" w:fill="FFFFFF"/>
        </w:rPr>
        <w:t>File, T. M., Jr, &amp; Ramirez, J. A. (2023). Community-Acquired Pneumonia. </w:t>
      </w:r>
      <w:r w:rsidRPr="003201C3">
        <w:rPr>
          <w:i/>
          <w:iCs/>
          <w:color w:val="212121"/>
          <w:shd w:val="clear" w:color="auto" w:fill="FFFFFF"/>
        </w:rPr>
        <w:t>The New England journal of medicine</w:t>
      </w:r>
      <w:r w:rsidRPr="003201C3">
        <w:rPr>
          <w:color w:val="212121"/>
          <w:shd w:val="clear" w:color="auto" w:fill="FFFFFF"/>
        </w:rPr>
        <w:t>, </w:t>
      </w:r>
      <w:r w:rsidRPr="003201C3">
        <w:rPr>
          <w:i/>
          <w:iCs/>
          <w:color w:val="212121"/>
          <w:shd w:val="clear" w:color="auto" w:fill="FFFFFF"/>
        </w:rPr>
        <w:t>389</w:t>
      </w:r>
      <w:r w:rsidRPr="003201C3">
        <w:rPr>
          <w:color w:val="212121"/>
          <w:shd w:val="clear" w:color="auto" w:fill="FFFFFF"/>
        </w:rPr>
        <w:t xml:space="preserve">(7), 632–641. </w:t>
      </w:r>
      <w:hyperlink r:id="rId10" w:history="1">
        <w:r w:rsidRPr="00830232">
          <w:rPr>
            <w:rStyle w:val="Hyperlink"/>
            <w:shd w:val="clear" w:color="auto" w:fill="FFFFFF"/>
          </w:rPr>
          <w:t>https://doi.org/10.1056/NEJMcp2303286</w:t>
        </w:r>
      </w:hyperlink>
      <w:r>
        <w:rPr>
          <w:color w:val="212121"/>
          <w:shd w:val="clear" w:color="auto" w:fill="FFFFFF"/>
        </w:rPr>
        <w:t xml:space="preserve"> </w:t>
      </w:r>
    </w:p>
    <w:p w14:paraId="4365205E" w14:textId="77777777" w:rsidR="007B6306" w:rsidRPr="003201C3" w:rsidRDefault="007B6306" w:rsidP="007B6306">
      <w:pPr>
        <w:spacing w:line="480" w:lineRule="auto"/>
        <w:ind w:left="720" w:hanging="720"/>
        <w:jc w:val="both"/>
        <w:rPr>
          <w:color w:val="212121"/>
          <w:shd w:val="clear" w:color="auto" w:fill="FFFFFF"/>
        </w:rPr>
      </w:pPr>
      <w:r w:rsidRPr="003201C3">
        <w:rPr>
          <w:color w:val="212121"/>
          <w:shd w:val="clear" w:color="auto" w:fill="FFFFFF"/>
        </w:rPr>
        <w:t xml:space="preserve">Mandell, L. A., Wunderink, R. G., Anzueto, A., Bartlett, J. G., Campbell, G. D., Dean, N. C., Dowell, S. F., File, T. M., Jr, Musher, D. M., Niederman, M. S., Torres, A., Whitney, C. G., Infectious Diseases Society of America, &amp; American Thoracic Society (2007). Infectious Diseases Society of America/American Thoracic Society consensus guidelines </w:t>
      </w:r>
      <w:r w:rsidRPr="003201C3">
        <w:rPr>
          <w:color w:val="212121"/>
          <w:shd w:val="clear" w:color="auto" w:fill="FFFFFF"/>
        </w:rPr>
        <w:lastRenderedPageBreak/>
        <w:t>on the management of community-acquired pneumonia in adults. </w:t>
      </w:r>
      <w:r w:rsidRPr="003201C3">
        <w:rPr>
          <w:i/>
          <w:iCs/>
          <w:color w:val="212121"/>
          <w:shd w:val="clear" w:color="auto" w:fill="FFFFFF"/>
        </w:rPr>
        <w:t>Clinical infectious diseases : an official publication of the Infectious Diseases Society of America</w:t>
      </w:r>
      <w:r w:rsidRPr="003201C3">
        <w:rPr>
          <w:color w:val="212121"/>
          <w:shd w:val="clear" w:color="auto" w:fill="FFFFFF"/>
        </w:rPr>
        <w:t>, </w:t>
      </w:r>
      <w:r w:rsidRPr="003201C3">
        <w:rPr>
          <w:i/>
          <w:iCs/>
          <w:color w:val="212121"/>
          <w:shd w:val="clear" w:color="auto" w:fill="FFFFFF"/>
        </w:rPr>
        <w:t>44 Suppl 2</w:t>
      </w:r>
      <w:r w:rsidRPr="003201C3">
        <w:rPr>
          <w:color w:val="212121"/>
          <w:shd w:val="clear" w:color="auto" w:fill="FFFFFF"/>
        </w:rPr>
        <w:t xml:space="preserve">(Suppl 2), S27–S72. </w:t>
      </w:r>
      <w:hyperlink r:id="rId11" w:history="1">
        <w:r w:rsidRPr="003201C3">
          <w:rPr>
            <w:rStyle w:val="Hyperlink"/>
            <w:shd w:val="clear" w:color="auto" w:fill="FFFFFF"/>
          </w:rPr>
          <w:t>https://doi.org/10.1086/511159</w:t>
        </w:r>
      </w:hyperlink>
    </w:p>
    <w:p w14:paraId="19979EFA" w14:textId="77777777" w:rsidR="007B6306" w:rsidRPr="00846892" w:rsidRDefault="007B6306" w:rsidP="007B6306">
      <w:pPr>
        <w:spacing w:line="480" w:lineRule="auto"/>
        <w:ind w:left="720" w:hanging="720"/>
        <w:jc w:val="both"/>
        <w:rPr>
          <w:color w:val="212121"/>
          <w:shd w:val="clear" w:color="auto" w:fill="FFFFFF"/>
        </w:rPr>
      </w:pPr>
      <w:r w:rsidRPr="00846892">
        <w:rPr>
          <w:color w:val="212121"/>
          <w:shd w:val="clear" w:color="auto" w:fill="FFFFFF"/>
        </w:rPr>
        <w:t>Martin-Loeches, I., Torres, A., Nagavci, B., Aliberti, S., Antonelli, M., Bassetti, M., Bos, L. D., Chalmers, J. D., Derde, L., de Waele, J., Garnacho-Montero, J., Kollef, M., Luna, C. M., Menendez, R., Niederman, M. S., Ponomarev, D., Restrepo, M. I., Rigau, D., Schultz, M. J., Weiss, E., … Wunderink, R. (2023). ERS/ESICM/ESCMID/ALAT guidelines for the management of severe community-acquired pneumonia. </w:t>
      </w:r>
      <w:r w:rsidRPr="00846892">
        <w:rPr>
          <w:i/>
          <w:iCs/>
          <w:color w:val="212121"/>
          <w:shd w:val="clear" w:color="auto" w:fill="FFFFFF"/>
        </w:rPr>
        <w:t>Intensive care medicine</w:t>
      </w:r>
      <w:r w:rsidRPr="00846892">
        <w:rPr>
          <w:color w:val="212121"/>
          <w:shd w:val="clear" w:color="auto" w:fill="FFFFFF"/>
        </w:rPr>
        <w:t>, </w:t>
      </w:r>
      <w:r w:rsidRPr="00846892">
        <w:rPr>
          <w:i/>
          <w:iCs/>
          <w:color w:val="212121"/>
          <w:shd w:val="clear" w:color="auto" w:fill="FFFFFF"/>
        </w:rPr>
        <w:t>49</w:t>
      </w:r>
      <w:r w:rsidRPr="00846892">
        <w:rPr>
          <w:color w:val="212121"/>
          <w:shd w:val="clear" w:color="auto" w:fill="FFFFFF"/>
        </w:rPr>
        <w:t xml:space="preserve">(6), 615–632. </w:t>
      </w:r>
      <w:hyperlink r:id="rId12" w:history="1">
        <w:r w:rsidRPr="00846892">
          <w:rPr>
            <w:rStyle w:val="Hyperlink"/>
            <w:shd w:val="clear" w:color="auto" w:fill="FFFFFF"/>
          </w:rPr>
          <w:t>https://doi.org/10.1007/s00134-023-07033-8</w:t>
        </w:r>
      </w:hyperlink>
      <w:r w:rsidRPr="00846892">
        <w:rPr>
          <w:color w:val="212121"/>
          <w:shd w:val="clear" w:color="auto" w:fill="FFFFFF"/>
        </w:rPr>
        <w:t xml:space="preserve"> </w:t>
      </w:r>
    </w:p>
    <w:p w14:paraId="68BA94B7" w14:textId="77777777" w:rsidR="007B6306" w:rsidRPr="00846892" w:rsidRDefault="007B6306" w:rsidP="007B6306">
      <w:pPr>
        <w:spacing w:line="480" w:lineRule="auto"/>
        <w:ind w:left="720" w:hanging="720"/>
        <w:jc w:val="both"/>
        <w:rPr>
          <w:color w:val="212121"/>
          <w:shd w:val="clear" w:color="auto" w:fill="FFFFFF"/>
        </w:rPr>
      </w:pPr>
      <w:r w:rsidRPr="00846892">
        <w:rPr>
          <w:color w:val="212121"/>
          <w:shd w:val="clear" w:color="auto" w:fill="FFFFFF"/>
        </w:rPr>
        <w:t>Metlay, J. P., Waterer, G. W., Long, A. C., Anzueto, A., Brozek, J., Crothers, K., Cooley, L. A., Dean, N. C., Fine, M. J., Flanders, S. A., Griffin, M. R., Metersky, M. L., Musher, D. M., Restrepo, M. I., &amp; Whitney, C. G. (2019). Diagnosis and Treatment of Adults with Community-acquired Pneumonia. An Official Clinical Practice Guideline of the American Thoracic Society and Infectious Diseases Society of America. </w:t>
      </w:r>
      <w:r w:rsidRPr="00846892">
        <w:rPr>
          <w:i/>
          <w:iCs/>
          <w:color w:val="212121"/>
          <w:shd w:val="clear" w:color="auto" w:fill="FFFFFF"/>
        </w:rPr>
        <w:t>American journal of respiratory and critical care medicine</w:t>
      </w:r>
      <w:r w:rsidRPr="00846892">
        <w:rPr>
          <w:color w:val="212121"/>
          <w:shd w:val="clear" w:color="auto" w:fill="FFFFFF"/>
        </w:rPr>
        <w:t>, </w:t>
      </w:r>
      <w:r w:rsidRPr="00846892">
        <w:rPr>
          <w:i/>
          <w:iCs/>
          <w:color w:val="212121"/>
          <w:shd w:val="clear" w:color="auto" w:fill="FFFFFF"/>
        </w:rPr>
        <w:t>200</w:t>
      </w:r>
      <w:r w:rsidRPr="00846892">
        <w:rPr>
          <w:color w:val="212121"/>
          <w:shd w:val="clear" w:color="auto" w:fill="FFFFFF"/>
        </w:rPr>
        <w:t xml:space="preserve">(7), e45–e67. </w:t>
      </w:r>
      <w:hyperlink r:id="rId13" w:history="1">
        <w:r w:rsidRPr="00846892">
          <w:rPr>
            <w:rStyle w:val="Hyperlink"/>
            <w:shd w:val="clear" w:color="auto" w:fill="FFFFFF"/>
          </w:rPr>
          <w:t>https://doi.org/10.1164/rccm.201908-1581ST</w:t>
        </w:r>
      </w:hyperlink>
      <w:r w:rsidRPr="00846892">
        <w:rPr>
          <w:color w:val="212121"/>
          <w:shd w:val="clear" w:color="auto" w:fill="FFFFFF"/>
        </w:rPr>
        <w:t xml:space="preserve"> </w:t>
      </w:r>
    </w:p>
    <w:p w14:paraId="58E81DA6" w14:textId="77777777" w:rsidR="007B6306" w:rsidRPr="005B0103" w:rsidRDefault="007B6306" w:rsidP="007B6306">
      <w:pPr>
        <w:spacing w:line="480" w:lineRule="auto"/>
        <w:ind w:left="720" w:hanging="720"/>
        <w:jc w:val="both"/>
        <w:rPr>
          <w:color w:val="212121"/>
          <w:shd w:val="clear" w:color="auto" w:fill="FFFFFF"/>
        </w:rPr>
      </w:pPr>
      <w:r w:rsidRPr="005B0103">
        <w:rPr>
          <w:color w:val="212121"/>
          <w:shd w:val="clear" w:color="auto" w:fill="FFFFFF"/>
        </w:rPr>
        <w:t>Pepper, D. J., Sun, J., Rhee, C., Welsh, J., Powers, J. H., 3rd, Danner, R. L., &amp; Kadri, S. S. (2019). Procalcitonin-Guided Antibiotic Discontinuation and Mortality in Critically Ill Adults: A Systematic Review and Meta-analysis. </w:t>
      </w:r>
      <w:r w:rsidRPr="005B0103">
        <w:rPr>
          <w:i/>
          <w:iCs/>
          <w:color w:val="212121"/>
          <w:shd w:val="clear" w:color="auto" w:fill="FFFFFF"/>
        </w:rPr>
        <w:t>Chest</w:t>
      </w:r>
      <w:r w:rsidRPr="005B0103">
        <w:rPr>
          <w:color w:val="212121"/>
          <w:shd w:val="clear" w:color="auto" w:fill="FFFFFF"/>
        </w:rPr>
        <w:t>, </w:t>
      </w:r>
      <w:r w:rsidRPr="005B0103">
        <w:rPr>
          <w:i/>
          <w:iCs/>
          <w:color w:val="212121"/>
          <w:shd w:val="clear" w:color="auto" w:fill="FFFFFF"/>
        </w:rPr>
        <w:t>155</w:t>
      </w:r>
      <w:r w:rsidRPr="005B0103">
        <w:rPr>
          <w:color w:val="212121"/>
          <w:shd w:val="clear" w:color="auto" w:fill="FFFFFF"/>
        </w:rPr>
        <w:t xml:space="preserve">(6), 1109–1118. </w:t>
      </w:r>
      <w:hyperlink r:id="rId14" w:history="1">
        <w:r w:rsidRPr="005B0103">
          <w:rPr>
            <w:rStyle w:val="Hyperlink"/>
            <w:shd w:val="clear" w:color="auto" w:fill="FFFFFF"/>
          </w:rPr>
          <w:t>https://doi.org/10.1016/j.chest.2018.12.029</w:t>
        </w:r>
      </w:hyperlink>
    </w:p>
    <w:p w14:paraId="5BC65C18" w14:textId="77777777" w:rsidR="007B6306" w:rsidRPr="005B0103" w:rsidRDefault="007B6306" w:rsidP="007B6306">
      <w:pPr>
        <w:spacing w:line="480" w:lineRule="auto"/>
        <w:ind w:left="720" w:hanging="720"/>
        <w:jc w:val="both"/>
        <w:rPr>
          <w:color w:val="212121"/>
          <w:shd w:val="clear" w:color="auto" w:fill="FFFFFF"/>
        </w:rPr>
      </w:pPr>
      <w:r w:rsidRPr="005B0103">
        <w:rPr>
          <w:color w:val="212121"/>
          <w:shd w:val="clear" w:color="auto" w:fill="FFFFFF"/>
        </w:rPr>
        <w:t xml:space="preserve">Schuetz, P., Beishuizen, A., Broyles, M., Ferrer, R., Gavazzi, G., Gluck, E. H., González Del Castillo, J., Jensen, J. U., Kanizsai, P. L., Kwa, A. L. H., Krueger, S., Luyt, C. E., Oppert, M., Plebani, M., Shlyapnikov, S. A., Toccafondi, G., Townsend, J., Welte, T., &amp; Saeed, K. </w:t>
      </w:r>
      <w:r w:rsidRPr="005B0103">
        <w:rPr>
          <w:color w:val="212121"/>
          <w:shd w:val="clear" w:color="auto" w:fill="FFFFFF"/>
        </w:rPr>
        <w:lastRenderedPageBreak/>
        <w:t>(2019). Procalcitonin (PCT)-guided antibiotic stewardship: an international experts consensus on optimized clinical use. </w:t>
      </w:r>
      <w:r w:rsidRPr="005B0103">
        <w:rPr>
          <w:i/>
          <w:iCs/>
          <w:color w:val="212121"/>
          <w:shd w:val="clear" w:color="auto" w:fill="FFFFFF"/>
        </w:rPr>
        <w:t>Clinical chemistry and laboratory medicine</w:t>
      </w:r>
      <w:r w:rsidRPr="005B0103">
        <w:rPr>
          <w:color w:val="212121"/>
          <w:shd w:val="clear" w:color="auto" w:fill="FFFFFF"/>
        </w:rPr>
        <w:t>, </w:t>
      </w:r>
      <w:r w:rsidRPr="005B0103">
        <w:rPr>
          <w:i/>
          <w:iCs/>
          <w:color w:val="212121"/>
          <w:shd w:val="clear" w:color="auto" w:fill="FFFFFF"/>
        </w:rPr>
        <w:t>57</w:t>
      </w:r>
      <w:r w:rsidRPr="005B0103">
        <w:rPr>
          <w:color w:val="212121"/>
          <w:shd w:val="clear" w:color="auto" w:fill="FFFFFF"/>
        </w:rPr>
        <w:t xml:space="preserve">(9), 1308–1318. </w:t>
      </w:r>
      <w:hyperlink r:id="rId15" w:history="1">
        <w:r w:rsidRPr="005B0103">
          <w:rPr>
            <w:rStyle w:val="Hyperlink"/>
            <w:shd w:val="clear" w:color="auto" w:fill="FFFFFF"/>
          </w:rPr>
          <w:t>https://doi.org/10.1515/cclm-2018-1181</w:t>
        </w:r>
      </w:hyperlink>
    </w:p>
    <w:p w14:paraId="63C7E90C" w14:textId="77777777" w:rsidR="007B6306" w:rsidRPr="005B0103" w:rsidRDefault="007B6306" w:rsidP="007B6306">
      <w:pPr>
        <w:spacing w:line="480" w:lineRule="auto"/>
        <w:ind w:left="720" w:hanging="720"/>
        <w:jc w:val="both"/>
        <w:rPr>
          <w:color w:val="212121"/>
          <w:shd w:val="clear" w:color="auto" w:fill="FFFFFF"/>
        </w:rPr>
      </w:pPr>
      <w:r w:rsidRPr="005B0103">
        <w:rPr>
          <w:color w:val="212121"/>
          <w:shd w:val="clear" w:color="auto" w:fill="FFFFFF"/>
        </w:rPr>
        <w:t>Schuetz, P., Wirz, Y., Sager, R., Christ-Crain, M., Stolz, D., Tamm, M., Bouadma, L., Luyt, C. E., Wolff, M., Chastre, J., Tubach, F., Kristoffersen, K. B., Burkhardt, O., Welte, T., Schroeder, S., Nobre, V., Wei, L., Bucher, H. C., Annane, D., Reinhart, K., … Mueller, B. (2018). Effect of procalcitonin-guided antibiotic treatment on mortality in acute respiratory infections: a patient level meta-analysis. </w:t>
      </w:r>
      <w:r w:rsidRPr="005B0103">
        <w:rPr>
          <w:i/>
          <w:iCs/>
          <w:color w:val="212121"/>
          <w:shd w:val="clear" w:color="auto" w:fill="FFFFFF"/>
        </w:rPr>
        <w:t>The Lancet. Infectious diseases</w:t>
      </w:r>
      <w:r w:rsidRPr="005B0103">
        <w:rPr>
          <w:color w:val="212121"/>
          <w:shd w:val="clear" w:color="auto" w:fill="FFFFFF"/>
        </w:rPr>
        <w:t>, </w:t>
      </w:r>
      <w:r w:rsidRPr="005B0103">
        <w:rPr>
          <w:i/>
          <w:iCs/>
          <w:color w:val="212121"/>
          <w:shd w:val="clear" w:color="auto" w:fill="FFFFFF"/>
        </w:rPr>
        <w:t>18</w:t>
      </w:r>
      <w:r w:rsidRPr="005B0103">
        <w:rPr>
          <w:color w:val="212121"/>
          <w:shd w:val="clear" w:color="auto" w:fill="FFFFFF"/>
        </w:rPr>
        <w:t xml:space="preserve">(1), 95–107. </w:t>
      </w:r>
      <w:hyperlink r:id="rId16" w:history="1">
        <w:r w:rsidRPr="005B0103">
          <w:rPr>
            <w:rStyle w:val="Hyperlink"/>
            <w:shd w:val="clear" w:color="auto" w:fill="FFFFFF"/>
          </w:rPr>
          <w:t>https://doi.org/10.1016/S1473-3099(17)30592-3</w:t>
        </w:r>
      </w:hyperlink>
    </w:p>
    <w:p w14:paraId="07445385" w14:textId="77777777" w:rsidR="007B6306" w:rsidRPr="005B0103" w:rsidRDefault="007B6306" w:rsidP="007B6306">
      <w:pPr>
        <w:spacing w:line="480" w:lineRule="auto"/>
        <w:ind w:left="720" w:hanging="720"/>
        <w:jc w:val="both"/>
      </w:pPr>
      <w:r w:rsidRPr="005B0103">
        <w:rPr>
          <w:color w:val="212121"/>
          <w:shd w:val="clear" w:color="auto" w:fill="FFFFFF"/>
        </w:rPr>
        <w:t>Shajiei, A., Berends, M. S., Luz, C. F., van Oers, J. A., Harmsen, H. J. M., Vos, P., Klont, R., Loef, B. G., Reidinga, A. C., Bormans-Russell, L., Linsen, K., Dormans, T., Otten, M., van der Bij, A., Beishuizen, A., de Lange, D. W., de Jong, E., &amp; Nijsten, M. W. (2023). Impact of reduced antibiotic treatment duration on antimicrobial resistance in critically ill patients in the randomized controlled SAPS-trial. </w:t>
      </w:r>
      <w:r w:rsidRPr="005B0103">
        <w:rPr>
          <w:i/>
          <w:iCs/>
          <w:color w:val="212121"/>
          <w:shd w:val="clear" w:color="auto" w:fill="FFFFFF"/>
        </w:rPr>
        <w:t>Frontiers in medicine</w:t>
      </w:r>
      <w:r w:rsidRPr="005B0103">
        <w:rPr>
          <w:color w:val="212121"/>
          <w:shd w:val="clear" w:color="auto" w:fill="FFFFFF"/>
        </w:rPr>
        <w:t>, </w:t>
      </w:r>
      <w:r w:rsidRPr="005B0103">
        <w:rPr>
          <w:i/>
          <w:iCs/>
          <w:color w:val="212121"/>
          <w:shd w:val="clear" w:color="auto" w:fill="FFFFFF"/>
        </w:rPr>
        <w:t>10</w:t>
      </w:r>
      <w:r w:rsidRPr="005B0103">
        <w:rPr>
          <w:color w:val="212121"/>
          <w:shd w:val="clear" w:color="auto" w:fill="FFFFFF"/>
        </w:rPr>
        <w:t xml:space="preserve">, 1080007. </w:t>
      </w:r>
      <w:hyperlink r:id="rId17" w:history="1">
        <w:r w:rsidRPr="005B0103">
          <w:rPr>
            <w:rStyle w:val="Hyperlink"/>
            <w:shd w:val="clear" w:color="auto" w:fill="FFFFFF"/>
          </w:rPr>
          <w:t>https://doi.org/10.3389/fmed.2023.1080007</w:t>
        </w:r>
      </w:hyperlink>
      <w:r w:rsidRPr="005B0103">
        <w:rPr>
          <w:color w:val="212121"/>
          <w:shd w:val="clear" w:color="auto" w:fill="FFFFFF"/>
        </w:rPr>
        <w:t xml:space="preserve"> </w:t>
      </w:r>
    </w:p>
    <w:p w14:paraId="521B5672" w14:textId="77777777" w:rsidR="00DF5289" w:rsidRDefault="00DF5289"/>
    <w:p w14:paraId="7DD02442" w14:textId="53CA92D8" w:rsidR="00DF5289" w:rsidRDefault="004E11D4">
      <w:pPr>
        <w:spacing w:before="240" w:after="120"/>
        <w:jc w:val="center"/>
      </w:pPr>
      <w:r>
        <w:rPr>
          <w:noProof/>
        </w:rPr>
        <w:lastRenderedPageBreak/>
        <w:drawing>
          <wp:anchor distT="0" distB="0" distL="114300" distR="114300" simplePos="0" relativeHeight="251659264" behindDoc="0" locked="0" layoutInCell="1" allowOverlap="1" wp14:anchorId="187E72C7" wp14:editId="3AA6903B">
            <wp:simplePos x="0" y="0"/>
            <wp:positionH relativeFrom="column">
              <wp:posOffset>-46383</wp:posOffset>
            </wp:positionH>
            <wp:positionV relativeFrom="paragraph">
              <wp:posOffset>947529</wp:posOffset>
            </wp:positionV>
            <wp:extent cx="5863471" cy="7277321"/>
            <wp:effectExtent l="0" t="0" r="4445" b="0"/>
            <wp:wrapTopAndBottom/>
            <wp:docPr id="7429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7114" name=""/>
                    <pic:cNvPicPr/>
                  </pic:nvPicPr>
                  <pic:blipFill>
                    <a:blip r:embed="rId18"/>
                    <a:stretch>
                      <a:fillRect/>
                    </a:stretch>
                  </pic:blipFill>
                  <pic:spPr>
                    <a:xfrm>
                      <a:off x="0" y="0"/>
                      <a:ext cx="5864087" cy="7278085"/>
                    </a:xfrm>
                    <a:prstGeom prst="rect">
                      <a:avLst/>
                    </a:prstGeom>
                  </pic:spPr>
                </pic:pic>
              </a:graphicData>
            </a:graphic>
            <wp14:sizeRelH relativeFrom="margin">
              <wp14:pctWidth>0</wp14:pctWidth>
            </wp14:sizeRelH>
            <wp14:sizeRelV relativeFrom="margin">
              <wp14:pctHeight>0</wp14:pctHeight>
            </wp14:sizeRelV>
          </wp:anchor>
        </w:drawing>
      </w:r>
      <w:r>
        <w:rPr>
          <w:b/>
          <w:bCs/>
        </w:rPr>
        <w:t>Appendix A</w:t>
      </w:r>
    </w:p>
    <w:p w14:paraId="272E6F08" w14:textId="5C1CFA76" w:rsidR="00DF5289" w:rsidRDefault="00182CDE" w:rsidP="004E11D4">
      <w:pPr>
        <w:spacing w:line="480" w:lineRule="auto"/>
        <w:jc w:val="center"/>
      </w:pPr>
      <w:r>
        <w:rPr>
          <w:b/>
          <w:bCs/>
        </w:rPr>
        <w:t>PRISMA 2020 Flow Diagram</w:t>
      </w:r>
    </w:p>
    <w:p w14:paraId="5EB9737C" w14:textId="7FFE247C" w:rsidR="00DF5289" w:rsidRDefault="00182CDE">
      <w:r>
        <w:br w:type="page"/>
      </w:r>
    </w:p>
    <w:p w14:paraId="0B903969" w14:textId="77777777" w:rsidR="00DF5289" w:rsidRDefault="00182CDE">
      <w:pPr>
        <w:spacing w:before="240" w:after="120"/>
        <w:jc w:val="center"/>
      </w:pPr>
      <w:r>
        <w:rPr>
          <w:b/>
          <w:bCs/>
        </w:rPr>
        <w:lastRenderedPageBreak/>
        <w:t>Appendix B</w:t>
      </w:r>
    </w:p>
    <w:p w14:paraId="36F7310F" w14:textId="77777777" w:rsidR="00DF5289" w:rsidRDefault="00182CDE">
      <w:pPr>
        <w:spacing w:line="480" w:lineRule="auto"/>
        <w:jc w:val="center"/>
      </w:pPr>
      <w:r>
        <w:rPr>
          <w:b/>
          <w:bCs/>
        </w:rPr>
        <w:t>Table of Evidence</w:t>
      </w:r>
    </w:p>
    <w:p w14:paraId="4421E3F7" w14:textId="77777777" w:rsidR="00DF5289" w:rsidRDefault="00DF5289"/>
    <w:p w14:paraId="4EB651E0" w14:textId="242BC1AF" w:rsidR="007079E6" w:rsidRDefault="007079E6">
      <w:pPr>
        <w:spacing w:line="480" w:lineRule="auto"/>
        <w:ind w:firstLine="720"/>
        <w:jc w:val="both"/>
      </w:pPr>
      <w:r>
        <w:rPr>
          <w:noProof/>
        </w:rPr>
        <w:drawing>
          <wp:anchor distT="0" distB="0" distL="114300" distR="114300" simplePos="0" relativeHeight="251661312" behindDoc="0" locked="0" layoutInCell="1" allowOverlap="1" wp14:anchorId="3DB22493" wp14:editId="535824F1">
            <wp:simplePos x="0" y="0"/>
            <wp:positionH relativeFrom="column">
              <wp:posOffset>0</wp:posOffset>
            </wp:positionH>
            <wp:positionV relativeFrom="paragraph">
              <wp:posOffset>348615</wp:posOffset>
            </wp:positionV>
            <wp:extent cx="5943600" cy="3345815"/>
            <wp:effectExtent l="0" t="0" r="0" b="0"/>
            <wp:wrapTopAndBottom/>
            <wp:docPr id="174502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25005" name=""/>
                    <pic:cNvPicPr/>
                  </pic:nvPicPr>
                  <pic:blipFill>
                    <a:blip r:embed="rId19"/>
                    <a:stretch>
                      <a:fillRect/>
                    </a:stretch>
                  </pic:blipFill>
                  <pic:spPr>
                    <a:xfrm>
                      <a:off x="0" y="0"/>
                      <a:ext cx="5943600" cy="3345815"/>
                    </a:xfrm>
                    <a:prstGeom prst="rect">
                      <a:avLst/>
                    </a:prstGeom>
                  </pic:spPr>
                </pic:pic>
              </a:graphicData>
            </a:graphic>
            <wp14:sizeRelV relativeFrom="margin">
              <wp14:pctHeight>0</wp14:pctHeight>
            </wp14:sizeRelV>
          </wp:anchor>
        </w:drawing>
      </w:r>
    </w:p>
    <w:p w14:paraId="642D3F2B" w14:textId="7D07F634" w:rsidR="007079E6" w:rsidRDefault="00D171AB">
      <w:pPr>
        <w:spacing w:line="480" w:lineRule="auto"/>
        <w:ind w:firstLine="720"/>
        <w:jc w:val="both"/>
      </w:pPr>
      <w:r>
        <w:rPr>
          <w:noProof/>
        </w:rPr>
        <w:drawing>
          <wp:anchor distT="0" distB="0" distL="114300" distR="114300" simplePos="0" relativeHeight="251663360" behindDoc="0" locked="0" layoutInCell="1" allowOverlap="1" wp14:anchorId="1F815F86" wp14:editId="0C9727E8">
            <wp:simplePos x="0" y="0"/>
            <wp:positionH relativeFrom="column">
              <wp:posOffset>-191990</wp:posOffset>
            </wp:positionH>
            <wp:positionV relativeFrom="paragraph">
              <wp:posOffset>3852296</wp:posOffset>
            </wp:positionV>
            <wp:extent cx="6228522" cy="2981325"/>
            <wp:effectExtent l="0" t="0" r="0" b="0"/>
            <wp:wrapTopAndBottom/>
            <wp:docPr id="14587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9111" name=""/>
                    <pic:cNvPicPr/>
                  </pic:nvPicPr>
                  <pic:blipFill>
                    <a:blip r:embed="rId20"/>
                    <a:stretch>
                      <a:fillRect/>
                    </a:stretch>
                  </pic:blipFill>
                  <pic:spPr>
                    <a:xfrm>
                      <a:off x="0" y="0"/>
                      <a:ext cx="6228522" cy="2981325"/>
                    </a:xfrm>
                    <a:prstGeom prst="rect">
                      <a:avLst/>
                    </a:prstGeom>
                  </pic:spPr>
                </pic:pic>
              </a:graphicData>
            </a:graphic>
            <wp14:sizeRelH relativeFrom="margin">
              <wp14:pctWidth>0</wp14:pctWidth>
            </wp14:sizeRelH>
            <wp14:sizeRelV relativeFrom="margin">
              <wp14:pctHeight>0</wp14:pctHeight>
            </wp14:sizeRelV>
          </wp:anchor>
        </w:drawing>
      </w:r>
    </w:p>
    <w:p w14:paraId="5FD604D2" w14:textId="140CB94C" w:rsidR="007079E6" w:rsidRDefault="007079E6">
      <w:pPr>
        <w:spacing w:line="480" w:lineRule="auto"/>
        <w:ind w:firstLine="720"/>
        <w:jc w:val="both"/>
      </w:pPr>
    </w:p>
    <w:p w14:paraId="219489FC" w14:textId="1E9B55C6" w:rsidR="00675CA3" w:rsidRDefault="00BD69ED">
      <w:pPr>
        <w:spacing w:line="480" w:lineRule="auto"/>
        <w:ind w:firstLine="720"/>
        <w:jc w:val="both"/>
      </w:pPr>
      <w:r>
        <w:rPr>
          <w:noProof/>
        </w:rPr>
        <w:lastRenderedPageBreak/>
        <w:drawing>
          <wp:anchor distT="0" distB="0" distL="114300" distR="114300" simplePos="0" relativeHeight="251667456" behindDoc="0" locked="0" layoutInCell="1" allowOverlap="1" wp14:anchorId="522C3426" wp14:editId="48365BFB">
            <wp:simplePos x="0" y="0"/>
            <wp:positionH relativeFrom="margin">
              <wp:align>right</wp:align>
            </wp:positionH>
            <wp:positionV relativeFrom="paragraph">
              <wp:posOffset>3021330</wp:posOffset>
            </wp:positionV>
            <wp:extent cx="6137910" cy="3326130"/>
            <wp:effectExtent l="0" t="0" r="0" b="0"/>
            <wp:wrapTopAndBottom/>
            <wp:docPr id="117134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48578" name=""/>
                    <pic:cNvPicPr/>
                  </pic:nvPicPr>
                  <pic:blipFill>
                    <a:blip r:embed="rId21"/>
                    <a:stretch>
                      <a:fillRect/>
                    </a:stretch>
                  </pic:blipFill>
                  <pic:spPr>
                    <a:xfrm>
                      <a:off x="0" y="0"/>
                      <a:ext cx="6137910" cy="33261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D80F17B" wp14:editId="29754459">
            <wp:simplePos x="0" y="0"/>
            <wp:positionH relativeFrom="column">
              <wp:posOffset>-143510</wp:posOffset>
            </wp:positionH>
            <wp:positionV relativeFrom="paragraph">
              <wp:posOffset>95250</wp:posOffset>
            </wp:positionV>
            <wp:extent cx="6273165" cy="3166745"/>
            <wp:effectExtent l="0" t="0" r="0" b="0"/>
            <wp:wrapTopAndBottom/>
            <wp:docPr id="162811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7504" name=""/>
                    <pic:cNvPicPr/>
                  </pic:nvPicPr>
                  <pic:blipFill>
                    <a:blip r:embed="rId22"/>
                    <a:stretch>
                      <a:fillRect/>
                    </a:stretch>
                  </pic:blipFill>
                  <pic:spPr>
                    <a:xfrm>
                      <a:off x="0" y="0"/>
                      <a:ext cx="6273165" cy="3166745"/>
                    </a:xfrm>
                    <a:prstGeom prst="rect">
                      <a:avLst/>
                    </a:prstGeom>
                  </pic:spPr>
                </pic:pic>
              </a:graphicData>
            </a:graphic>
            <wp14:sizeRelH relativeFrom="margin">
              <wp14:pctWidth>0</wp14:pctWidth>
            </wp14:sizeRelH>
            <wp14:sizeRelV relativeFrom="margin">
              <wp14:pctHeight>0</wp14:pctHeight>
            </wp14:sizeRelV>
          </wp:anchor>
        </w:drawing>
      </w:r>
    </w:p>
    <w:p w14:paraId="3C2CD1AC" w14:textId="09062A03" w:rsidR="00675CA3" w:rsidRDefault="00675CA3">
      <w:pPr>
        <w:spacing w:line="480" w:lineRule="auto"/>
        <w:ind w:firstLine="720"/>
        <w:jc w:val="both"/>
      </w:pPr>
    </w:p>
    <w:sectPr w:rsidR="00675CA3">
      <w:head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6C008" w14:textId="77777777" w:rsidR="003B67A1" w:rsidRDefault="003B67A1">
      <w:r>
        <w:separator/>
      </w:r>
    </w:p>
  </w:endnote>
  <w:endnote w:type="continuationSeparator" w:id="0">
    <w:p w14:paraId="4E2E7C90" w14:textId="77777777" w:rsidR="003B67A1" w:rsidRDefault="003B6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0162F" w14:textId="77777777" w:rsidR="003B67A1" w:rsidRDefault="003B67A1">
      <w:r>
        <w:separator/>
      </w:r>
    </w:p>
  </w:footnote>
  <w:footnote w:type="continuationSeparator" w:id="0">
    <w:p w14:paraId="7BC3FBC1" w14:textId="77777777" w:rsidR="003B67A1" w:rsidRDefault="003B6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A41E" w14:textId="72B4D143" w:rsidR="00DF5289" w:rsidRDefault="00DF528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25726"/>
    <w:multiLevelType w:val="hybridMultilevel"/>
    <w:tmpl w:val="FFFFFFFF"/>
    <w:lvl w:ilvl="0" w:tplc="2B280AC6">
      <w:start w:val="1"/>
      <w:numFmt w:val="bullet"/>
      <w:lvlText w:val="●"/>
      <w:lvlJc w:val="left"/>
      <w:pPr>
        <w:ind w:left="720" w:hanging="360"/>
      </w:pPr>
    </w:lvl>
    <w:lvl w:ilvl="1" w:tplc="B1D8386E">
      <w:start w:val="1"/>
      <w:numFmt w:val="bullet"/>
      <w:lvlText w:val="○"/>
      <w:lvlJc w:val="left"/>
      <w:pPr>
        <w:ind w:left="1440" w:hanging="360"/>
      </w:pPr>
    </w:lvl>
    <w:lvl w:ilvl="2" w:tplc="63FEA4DA">
      <w:start w:val="1"/>
      <w:numFmt w:val="bullet"/>
      <w:lvlText w:val="■"/>
      <w:lvlJc w:val="left"/>
      <w:pPr>
        <w:ind w:left="2160" w:hanging="360"/>
      </w:pPr>
    </w:lvl>
    <w:lvl w:ilvl="3" w:tplc="B6BAA384">
      <w:start w:val="1"/>
      <w:numFmt w:val="bullet"/>
      <w:lvlText w:val="●"/>
      <w:lvlJc w:val="left"/>
      <w:pPr>
        <w:ind w:left="2880" w:hanging="360"/>
      </w:pPr>
    </w:lvl>
    <w:lvl w:ilvl="4" w:tplc="8C343764">
      <w:start w:val="1"/>
      <w:numFmt w:val="bullet"/>
      <w:lvlText w:val="○"/>
      <w:lvlJc w:val="left"/>
      <w:pPr>
        <w:ind w:left="3600" w:hanging="360"/>
      </w:pPr>
    </w:lvl>
    <w:lvl w:ilvl="5" w:tplc="81EEFE64">
      <w:start w:val="1"/>
      <w:numFmt w:val="bullet"/>
      <w:lvlText w:val="■"/>
      <w:lvlJc w:val="left"/>
      <w:pPr>
        <w:ind w:left="4320" w:hanging="360"/>
      </w:pPr>
    </w:lvl>
    <w:lvl w:ilvl="6" w:tplc="EE80290E">
      <w:start w:val="1"/>
      <w:numFmt w:val="bullet"/>
      <w:lvlText w:val="●"/>
      <w:lvlJc w:val="left"/>
      <w:pPr>
        <w:ind w:left="5040" w:hanging="360"/>
      </w:pPr>
    </w:lvl>
    <w:lvl w:ilvl="7" w:tplc="516CF97E">
      <w:start w:val="1"/>
      <w:numFmt w:val="bullet"/>
      <w:lvlText w:val="●"/>
      <w:lvlJc w:val="left"/>
      <w:pPr>
        <w:ind w:left="5760" w:hanging="360"/>
      </w:pPr>
    </w:lvl>
    <w:lvl w:ilvl="8" w:tplc="045C8F40">
      <w:start w:val="1"/>
      <w:numFmt w:val="bullet"/>
      <w:lvlText w:val="●"/>
      <w:lvlJc w:val="left"/>
      <w:pPr>
        <w:ind w:left="6480" w:hanging="360"/>
      </w:pPr>
    </w:lvl>
  </w:abstractNum>
  <w:num w:numId="1" w16cid:durableId="829717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289"/>
    <w:rsid w:val="00066454"/>
    <w:rsid w:val="00097957"/>
    <w:rsid w:val="000E1843"/>
    <w:rsid w:val="00164FB2"/>
    <w:rsid w:val="00174792"/>
    <w:rsid w:val="001764B9"/>
    <w:rsid w:val="00182CDE"/>
    <w:rsid w:val="001A05C3"/>
    <w:rsid w:val="001D0B9B"/>
    <w:rsid w:val="002A0C09"/>
    <w:rsid w:val="002A3620"/>
    <w:rsid w:val="002A6DE1"/>
    <w:rsid w:val="002E7056"/>
    <w:rsid w:val="00307251"/>
    <w:rsid w:val="003629BD"/>
    <w:rsid w:val="003B67A1"/>
    <w:rsid w:val="003F41A0"/>
    <w:rsid w:val="00453541"/>
    <w:rsid w:val="0046063E"/>
    <w:rsid w:val="004929BA"/>
    <w:rsid w:val="004B03C4"/>
    <w:rsid w:val="004D7E2C"/>
    <w:rsid w:val="004E11D4"/>
    <w:rsid w:val="00546D67"/>
    <w:rsid w:val="0055102A"/>
    <w:rsid w:val="005735F6"/>
    <w:rsid w:val="00675CA3"/>
    <w:rsid w:val="006A4C08"/>
    <w:rsid w:val="007079E6"/>
    <w:rsid w:val="007B545F"/>
    <w:rsid w:val="007B6306"/>
    <w:rsid w:val="007E3ACE"/>
    <w:rsid w:val="00800E79"/>
    <w:rsid w:val="00832D51"/>
    <w:rsid w:val="009464D7"/>
    <w:rsid w:val="00967AEE"/>
    <w:rsid w:val="009C0337"/>
    <w:rsid w:val="00A235F4"/>
    <w:rsid w:val="00A52851"/>
    <w:rsid w:val="00AC1CA5"/>
    <w:rsid w:val="00AC42BE"/>
    <w:rsid w:val="00AD1031"/>
    <w:rsid w:val="00B33E76"/>
    <w:rsid w:val="00B74560"/>
    <w:rsid w:val="00BD147B"/>
    <w:rsid w:val="00BD69ED"/>
    <w:rsid w:val="00BF4BD1"/>
    <w:rsid w:val="00C17545"/>
    <w:rsid w:val="00C933E4"/>
    <w:rsid w:val="00CB2351"/>
    <w:rsid w:val="00CC6BEA"/>
    <w:rsid w:val="00D171AB"/>
    <w:rsid w:val="00D4019A"/>
    <w:rsid w:val="00DB2D64"/>
    <w:rsid w:val="00DF5289"/>
    <w:rsid w:val="00E96FF4"/>
    <w:rsid w:val="00EA01E3"/>
    <w:rsid w:val="00F20CF4"/>
    <w:rsid w:val="00F33CCC"/>
    <w:rsid w:val="00F46EB2"/>
    <w:rsid w:val="00F70EC1"/>
    <w:rsid w:val="00F80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6145"/>
  <w15:docId w15:val="{90733029-1E93-DD44-99B9-80282114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29BA"/>
    <w:pPr>
      <w:tabs>
        <w:tab w:val="center" w:pos="4680"/>
        <w:tab w:val="right" w:pos="9360"/>
      </w:tabs>
    </w:pPr>
  </w:style>
  <w:style w:type="character" w:customStyle="1" w:styleId="HeaderChar">
    <w:name w:val="Header Char"/>
    <w:basedOn w:val="DefaultParagraphFont"/>
    <w:link w:val="Header"/>
    <w:uiPriority w:val="99"/>
    <w:rsid w:val="004929BA"/>
  </w:style>
  <w:style w:type="paragraph" w:styleId="Footer">
    <w:name w:val="footer"/>
    <w:basedOn w:val="Normal"/>
    <w:link w:val="FooterChar"/>
    <w:uiPriority w:val="99"/>
    <w:unhideWhenUsed/>
    <w:rsid w:val="004929BA"/>
    <w:pPr>
      <w:tabs>
        <w:tab w:val="center" w:pos="4680"/>
        <w:tab w:val="right" w:pos="9360"/>
      </w:tabs>
    </w:pPr>
  </w:style>
  <w:style w:type="character" w:customStyle="1" w:styleId="FooterChar">
    <w:name w:val="Footer Char"/>
    <w:basedOn w:val="DefaultParagraphFont"/>
    <w:link w:val="Footer"/>
    <w:uiPriority w:val="99"/>
    <w:rsid w:val="004929BA"/>
  </w:style>
  <w:style w:type="character" w:styleId="UnresolvedMention">
    <w:name w:val="Unresolved Mention"/>
    <w:basedOn w:val="DefaultParagraphFont"/>
    <w:uiPriority w:val="99"/>
    <w:semiHidden/>
    <w:unhideWhenUsed/>
    <w:rsid w:val="00D4019A"/>
    <w:rPr>
      <w:color w:val="605E5C"/>
      <w:shd w:val="clear" w:color="auto" w:fill="E1DFDD"/>
    </w:rPr>
  </w:style>
  <w:style w:type="character" w:customStyle="1" w:styleId="Heading3Char">
    <w:name w:val="Heading 3 Char"/>
    <w:basedOn w:val="DefaultParagraphFont"/>
    <w:link w:val="Heading3"/>
    <w:uiPriority w:val="9"/>
    <w:rsid w:val="00F46EB2"/>
    <w:rPr>
      <w:color w:val="1F4D78"/>
    </w:rPr>
  </w:style>
  <w:style w:type="character" w:customStyle="1" w:styleId="apple-converted-space">
    <w:name w:val="apple-converted-space"/>
    <w:basedOn w:val="DefaultParagraphFont"/>
    <w:rsid w:val="00F46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890-020-01293-6" TargetMode="External"/><Relationship Id="rId13" Type="http://schemas.openxmlformats.org/officeDocument/2006/relationships/hyperlink" Target="https://doi.org/10.1164/rccm.201908-1581ST"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oi.org/10.1371/journal.pone.0307193" TargetMode="External"/><Relationship Id="rId12" Type="http://schemas.openxmlformats.org/officeDocument/2006/relationships/hyperlink" Target="https://doi.org/10.1007/s00134-023-07033-8" TargetMode="External"/><Relationship Id="rId17" Type="http://schemas.openxmlformats.org/officeDocument/2006/relationships/hyperlink" Target="https://doi.org/10.3389/fmed.2023.108000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S1473-3099(17)30592-3"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6/51115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515/cclm-2018-1181" TargetMode="External"/><Relationship Id="rId23" Type="http://schemas.openxmlformats.org/officeDocument/2006/relationships/header" Target="header1.xml"/><Relationship Id="rId10" Type="http://schemas.openxmlformats.org/officeDocument/2006/relationships/hyperlink" Target="https://doi.org/10.1056/NEJMcp2303286"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i.org/10.1007/s00134-025-08014-9" TargetMode="External"/><Relationship Id="rId14" Type="http://schemas.openxmlformats.org/officeDocument/2006/relationships/hyperlink" Target="https://doi.org/10.1016/j.chest.2018.12.029"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5043</Words>
  <Characters>28747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Almutairi, Manal Awwadh</cp:lastModifiedBy>
  <cp:revision>2</cp:revision>
  <cp:lastPrinted>2026-04-06T16:19:00Z</cp:lastPrinted>
  <dcterms:created xsi:type="dcterms:W3CDTF">2026-04-19T17:34:00Z</dcterms:created>
  <dcterms:modified xsi:type="dcterms:W3CDTF">2026-04-19T17:34:00Z</dcterms:modified>
</cp:coreProperties>
</file>