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31AD8" w14:textId="77777777" w:rsidR="00A23310" w:rsidRDefault="00A23310" w:rsidP="00A23310">
      <w:pPr>
        <w:rPr>
          <w:b/>
          <w:bCs/>
          <w:szCs w:val="24"/>
        </w:rPr>
      </w:pPr>
      <w:r>
        <w:rPr>
          <w:b/>
          <w:bCs/>
          <w:szCs w:val="24"/>
        </w:rPr>
        <w:t>HIST 323: Language, literature and power in South Asia</w:t>
      </w:r>
    </w:p>
    <w:p w14:paraId="5769728F" w14:textId="77777777" w:rsidR="00A23310" w:rsidRDefault="00A23310" w:rsidP="00A23310">
      <w:pPr>
        <w:rPr>
          <w:szCs w:val="24"/>
        </w:rPr>
      </w:pPr>
      <w:r>
        <w:rPr>
          <w:szCs w:val="24"/>
        </w:rPr>
        <w:t>Spring 2017</w:t>
      </w:r>
    </w:p>
    <w:p w14:paraId="035CCA98" w14:textId="77777777" w:rsidR="00A23310" w:rsidRDefault="00A23310" w:rsidP="00A23310">
      <w:pPr>
        <w:rPr>
          <w:szCs w:val="24"/>
        </w:rPr>
      </w:pPr>
    </w:p>
    <w:p w14:paraId="19D4D940" w14:textId="77777777" w:rsidR="00A23310" w:rsidRDefault="00A23310" w:rsidP="00A23310">
      <w:pPr>
        <w:rPr>
          <w:szCs w:val="24"/>
        </w:rPr>
      </w:pPr>
      <w:r>
        <w:rPr>
          <w:szCs w:val="24"/>
        </w:rPr>
        <w:t xml:space="preserve">Instructor: </w:t>
      </w:r>
      <w:r>
        <w:rPr>
          <w:szCs w:val="24"/>
        </w:rPr>
        <w:tab/>
        <w:t>Dr. Ananya Chakravarti</w:t>
      </w:r>
    </w:p>
    <w:p w14:paraId="159F304A" w14:textId="77777777" w:rsidR="00A23310" w:rsidRDefault="00A23310" w:rsidP="00A23310">
      <w:pPr>
        <w:rPr>
          <w:szCs w:val="24"/>
        </w:rPr>
      </w:pPr>
      <w:r>
        <w:rPr>
          <w:szCs w:val="24"/>
        </w:rPr>
        <w:t xml:space="preserve">Office: </w:t>
      </w:r>
      <w:r>
        <w:rPr>
          <w:szCs w:val="24"/>
        </w:rPr>
        <w:tab/>
        <w:t xml:space="preserve">ICC 620 </w:t>
      </w:r>
    </w:p>
    <w:p w14:paraId="170C37AA" w14:textId="77777777" w:rsidR="00A23310" w:rsidRDefault="00A23310" w:rsidP="00A23310">
      <w:pPr>
        <w:rPr>
          <w:szCs w:val="24"/>
        </w:rPr>
      </w:pPr>
      <w:r>
        <w:rPr>
          <w:szCs w:val="24"/>
        </w:rPr>
        <w:t xml:space="preserve">Office hours: </w:t>
      </w:r>
      <w:r>
        <w:rPr>
          <w:szCs w:val="24"/>
        </w:rPr>
        <w:tab/>
        <w:t xml:space="preserve">TR, 10:00-11:00 am or by appointment. Extra hours will be scheduled in weeks where major assignments are due. </w:t>
      </w:r>
    </w:p>
    <w:p w14:paraId="4AC031C0" w14:textId="77777777" w:rsidR="00A23310" w:rsidRDefault="00A23310" w:rsidP="00A23310">
      <w:pPr>
        <w:rPr>
          <w:szCs w:val="24"/>
        </w:rPr>
      </w:pPr>
      <w:r>
        <w:rPr>
          <w:szCs w:val="24"/>
        </w:rPr>
        <w:t xml:space="preserve">Phone: </w:t>
      </w:r>
      <w:r>
        <w:rPr>
          <w:szCs w:val="24"/>
        </w:rPr>
        <w:tab/>
        <w:t xml:space="preserve">7-6061 </w:t>
      </w:r>
    </w:p>
    <w:p w14:paraId="4A41670B" w14:textId="77777777" w:rsidR="00A23310" w:rsidRDefault="00A23310" w:rsidP="00A23310">
      <w:pPr>
        <w:rPr>
          <w:szCs w:val="24"/>
        </w:rPr>
      </w:pPr>
      <w:r>
        <w:rPr>
          <w:szCs w:val="24"/>
        </w:rPr>
        <w:t>Email:</w:t>
      </w:r>
      <w:r>
        <w:rPr>
          <w:szCs w:val="24"/>
        </w:rPr>
        <w:tab/>
        <w:t xml:space="preserve"> </w:t>
      </w:r>
      <w:r>
        <w:rPr>
          <w:szCs w:val="24"/>
        </w:rPr>
        <w:tab/>
        <w:t xml:space="preserve">ac1646@georgetown.edu </w:t>
      </w:r>
    </w:p>
    <w:p w14:paraId="4A1AF819" w14:textId="7358D874" w:rsidR="00A23310" w:rsidRDefault="00A23310" w:rsidP="00A23310">
      <w:pPr>
        <w:rPr>
          <w:bCs/>
          <w:szCs w:val="24"/>
        </w:rPr>
      </w:pPr>
      <w:r>
        <w:rPr>
          <w:szCs w:val="24"/>
        </w:rPr>
        <w:t xml:space="preserve">Lecture: </w:t>
      </w:r>
      <w:r>
        <w:rPr>
          <w:szCs w:val="24"/>
        </w:rPr>
        <w:tab/>
      </w:r>
      <w:r>
        <w:rPr>
          <w:bCs/>
          <w:szCs w:val="24"/>
        </w:rPr>
        <w:t>TR, 11:00-12:15</w:t>
      </w:r>
      <w:r w:rsidR="00237201">
        <w:rPr>
          <w:bCs/>
          <w:szCs w:val="24"/>
        </w:rPr>
        <w:t xml:space="preserve"> Reiss 261A</w:t>
      </w:r>
    </w:p>
    <w:p w14:paraId="07ACAE87" w14:textId="77777777" w:rsidR="00A23310" w:rsidRDefault="00A23310" w:rsidP="00A23310">
      <w:pPr>
        <w:rPr>
          <w:bCs/>
          <w:szCs w:val="24"/>
        </w:rPr>
      </w:pPr>
    </w:p>
    <w:p w14:paraId="06B0238C" w14:textId="77777777" w:rsidR="00A23310" w:rsidRDefault="00A23310" w:rsidP="00A23310">
      <w:pPr>
        <w:rPr>
          <w:szCs w:val="24"/>
        </w:rPr>
      </w:pPr>
      <w:r>
        <w:rPr>
          <w:b/>
          <w:szCs w:val="24"/>
        </w:rPr>
        <w:t>Course description</w:t>
      </w:r>
      <w:r>
        <w:rPr>
          <w:szCs w:val="24"/>
        </w:rPr>
        <w:t>:</w:t>
      </w:r>
    </w:p>
    <w:p w14:paraId="2E5075AC" w14:textId="1DDC2B58" w:rsidR="00A23310" w:rsidRPr="00A23310" w:rsidRDefault="00A23310" w:rsidP="00A23310">
      <w:pPr>
        <w:widowControl/>
        <w:rPr>
          <w:rFonts w:ascii="Times" w:eastAsia="Times New Roman" w:hAnsi="Times"/>
          <w:kern w:val="0"/>
          <w:sz w:val="20"/>
          <w:lang w:eastAsia="en-US"/>
        </w:rPr>
      </w:pPr>
      <w:r w:rsidRPr="00A23310">
        <w:rPr>
          <w:rFonts w:eastAsia="Times New Roman"/>
          <w:color w:val="222222"/>
          <w:kern w:val="0"/>
          <w:szCs w:val="24"/>
          <w:shd w:val="clear" w:color="auto" w:fill="FFFFFF"/>
          <w:lang w:eastAsia="en-US"/>
        </w:rPr>
        <w:t xml:space="preserve">South Asia is historically one of the richest linguistic ecologies in the world, characterized by widespread multilingualism and contact and rich histories of literary and oral traditions spanning millennia. However, language, as a vehicle for community-building, self-expression and rule, is also deeply enmeshed in the history of power in the subcontinent. This course will explore the long history of language in South Asia, from the ancient to the present day. Topics will include the establishment of Sanskrit in classical India; the rise of vernacular literatures in medieval India; the role of Persian in court cultures; </w:t>
      </w:r>
      <w:r w:rsidR="00383809">
        <w:rPr>
          <w:rFonts w:eastAsia="Times New Roman"/>
          <w:color w:val="222222"/>
          <w:kern w:val="0"/>
          <w:szCs w:val="24"/>
          <w:shd w:val="clear" w:color="auto" w:fill="FFFFFF"/>
          <w:lang w:eastAsia="en-US"/>
        </w:rPr>
        <w:t xml:space="preserve">print culture and </w:t>
      </w:r>
      <w:r w:rsidRPr="00A23310">
        <w:rPr>
          <w:rFonts w:eastAsia="Times New Roman"/>
          <w:color w:val="222222"/>
          <w:kern w:val="0"/>
          <w:szCs w:val="24"/>
          <w:shd w:val="clear" w:color="auto" w:fill="FFFFFF"/>
          <w:lang w:eastAsia="en-US"/>
        </w:rPr>
        <w:t>the question of language in the anti-colonial and nationalist movements and the creation of Hindi and Urdu after 1947; federal language policy and identity in postcolonial South Asia; subaltern oral cultures, particularly among tribal populations and language death; and the rise of English in modern South Asia. Students will also be introduced to a variety of the poetic and literary traditions of the region in historical context.</w:t>
      </w:r>
    </w:p>
    <w:p w14:paraId="5FBF09B8" w14:textId="77777777" w:rsidR="00A23310" w:rsidRDefault="00A23310" w:rsidP="00A23310">
      <w:pPr>
        <w:rPr>
          <w:b/>
          <w:bCs/>
          <w:szCs w:val="24"/>
        </w:rPr>
      </w:pPr>
    </w:p>
    <w:p w14:paraId="3EE4C790" w14:textId="77777777" w:rsidR="00A23310" w:rsidRDefault="00A23310" w:rsidP="00A23310">
      <w:pPr>
        <w:rPr>
          <w:b/>
          <w:bCs/>
          <w:szCs w:val="24"/>
        </w:rPr>
      </w:pPr>
      <w:r>
        <w:rPr>
          <w:b/>
          <w:bCs/>
          <w:szCs w:val="24"/>
        </w:rPr>
        <w:t>Course goals</w:t>
      </w:r>
    </w:p>
    <w:p w14:paraId="69C8B27B" w14:textId="77777777" w:rsidR="00A23310" w:rsidRDefault="00A23310" w:rsidP="00A23310">
      <w:pPr>
        <w:rPr>
          <w:szCs w:val="24"/>
        </w:rPr>
      </w:pPr>
      <w:r>
        <w:rPr>
          <w:szCs w:val="24"/>
        </w:rPr>
        <w:t xml:space="preserve">This course will familiarize students with the basic modern colonial and post-colonial history of South Asia, relating to language and literary traditions, and introduce students to some of the major debates in the field. Students will also learn how to research and write an academic essay, using primary sources. </w:t>
      </w:r>
    </w:p>
    <w:p w14:paraId="53740A59" w14:textId="77777777" w:rsidR="00A23310" w:rsidRDefault="00A23310" w:rsidP="00A23310">
      <w:pPr>
        <w:rPr>
          <w:b/>
          <w:bCs/>
          <w:szCs w:val="24"/>
        </w:rPr>
      </w:pPr>
    </w:p>
    <w:p w14:paraId="25BDE73A" w14:textId="77777777" w:rsidR="00A23310" w:rsidRDefault="00A23310" w:rsidP="00A23310">
      <w:pPr>
        <w:rPr>
          <w:b/>
          <w:szCs w:val="24"/>
        </w:rPr>
      </w:pPr>
      <w:r>
        <w:rPr>
          <w:b/>
          <w:szCs w:val="24"/>
        </w:rPr>
        <w:t>Classroom etiquette</w:t>
      </w:r>
    </w:p>
    <w:p w14:paraId="015C6F52" w14:textId="77777777" w:rsidR="00A23310" w:rsidRDefault="00A23310" w:rsidP="00A23310">
      <w:pPr>
        <w:rPr>
          <w:bCs/>
          <w:szCs w:val="24"/>
        </w:rPr>
      </w:pPr>
      <w:r>
        <w:rPr>
          <w:bCs/>
          <w:szCs w:val="24"/>
        </w:rPr>
        <w:t xml:space="preserve">Cellphones must be turned off upon entering the classroom. </w:t>
      </w:r>
      <w:r>
        <w:rPr>
          <w:b/>
          <w:szCs w:val="24"/>
        </w:rPr>
        <w:t xml:space="preserve">If a cellphone goes off in the middle of class, a pop quiz will be given to the whole class. </w:t>
      </w:r>
    </w:p>
    <w:p w14:paraId="522748B2" w14:textId="77777777" w:rsidR="00A23310" w:rsidRDefault="00A23310" w:rsidP="00A23310">
      <w:pPr>
        <w:rPr>
          <w:bCs/>
          <w:szCs w:val="24"/>
        </w:rPr>
      </w:pPr>
      <w:r>
        <w:rPr>
          <w:bCs/>
          <w:szCs w:val="24"/>
        </w:rPr>
        <w:t xml:space="preserve">The use of laptops or any other electronic devices are strictly forbidden during class. (If you have disability-related needs requiring electronic aids for note-taking, please see the instructor.) Otherwise, all notes must be taken the old-fashioned way- with pen and paper. </w:t>
      </w:r>
    </w:p>
    <w:p w14:paraId="481CBF70" w14:textId="77777777" w:rsidR="00A23310" w:rsidRDefault="00A23310" w:rsidP="00A23310">
      <w:pPr>
        <w:rPr>
          <w:b/>
          <w:szCs w:val="24"/>
        </w:rPr>
      </w:pPr>
      <w:r>
        <w:rPr>
          <w:b/>
          <w:szCs w:val="24"/>
        </w:rPr>
        <w:t xml:space="preserve">Students must bring a copy of class readings to all discussion sessions. </w:t>
      </w:r>
    </w:p>
    <w:p w14:paraId="11E90AC6" w14:textId="77777777" w:rsidR="00A23310" w:rsidRDefault="00A23310" w:rsidP="00A23310">
      <w:pPr>
        <w:rPr>
          <w:bCs/>
          <w:szCs w:val="24"/>
        </w:rPr>
      </w:pPr>
    </w:p>
    <w:p w14:paraId="344F14AA" w14:textId="77777777" w:rsidR="00A23310" w:rsidRDefault="00A23310" w:rsidP="00A23310">
      <w:pPr>
        <w:rPr>
          <w:b/>
          <w:szCs w:val="24"/>
        </w:rPr>
      </w:pPr>
      <w:r>
        <w:rPr>
          <w:b/>
          <w:szCs w:val="24"/>
        </w:rPr>
        <w:t>Attendance policy:</w:t>
      </w:r>
    </w:p>
    <w:p w14:paraId="58D88337" w14:textId="77777777" w:rsidR="00A23310" w:rsidRDefault="00A23310" w:rsidP="00A23310">
      <w:pPr>
        <w:rPr>
          <w:bCs/>
          <w:szCs w:val="24"/>
        </w:rPr>
      </w:pPr>
      <w:r>
        <w:rPr>
          <w:bCs/>
          <w:szCs w:val="24"/>
        </w:rPr>
        <w:t xml:space="preserve">Students must inform the instructor </w:t>
      </w:r>
      <w:r>
        <w:rPr>
          <w:b/>
          <w:szCs w:val="24"/>
        </w:rPr>
        <w:t xml:space="preserve">during the first week of classes </w:t>
      </w:r>
      <w:r>
        <w:rPr>
          <w:bCs/>
          <w:szCs w:val="24"/>
        </w:rPr>
        <w:t xml:space="preserve">about any planned absences during the course of the semester (for example, for religious observances or extra-curricular activities). Depending on the number of foreseeable absences, the student may be asked to withdraw from the course. </w:t>
      </w:r>
    </w:p>
    <w:p w14:paraId="052EBD6F" w14:textId="77777777" w:rsidR="00A23310" w:rsidRDefault="00A23310" w:rsidP="00A23310">
      <w:pPr>
        <w:rPr>
          <w:bCs/>
          <w:szCs w:val="24"/>
        </w:rPr>
      </w:pPr>
      <w:r>
        <w:rPr>
          <w:bCs/>
          <w:szCs w:val="24"/>
        </w:rPr>
        <w:t>Students may miss one discussion session with no penalty. Each further absence will result in the loss of half a grade. More than four absences will result in automatic failure.</w:t>
      </w:r>
    </w:p>
    <w:p w14:paraId="6D2606BD" w14:textId="77777777" w:rsidR="00A23310" w:rsidRDefault="00A23310" w:rsidP="00A23310">
      <w:pPr>
        <w:pStyle w:val="NormalWeb"/>
        <w:spacing w:before="0" w:beforeAutospacing="0" w:after="0" w:afterAutospacing="0"/>
        <w:rPr>
          <w:bCs/>
        </w:rPr>
      </w:pPr>
      <w:r>
        <w:rPr>
          <w:bCs/>
        </w:rPr>
        <w:lastRenderedPageBreak/>
        <w:t xml:space="preserve">If students miss a discussion session for unavoidable medical or personal reasons, the absence may be excused by the instructor. Please contact the instructor as soon as possible and bring any relevant documentation (e.g. of illness) to the meeting. Even if absences are excused, students remain responsible for assigned work and will be provided with the opportunity to make up any missed work without penalty.  </w:t>
      </w:r>
    </w:p>
    <w:p w14:paraId="66DD826F" w14:textId="77777777" w:rsidR="00A23310" w:rsidRDefault="00A23310" w:rsidP="00A23310">
      <w:pPr>
        <w:pStyle w:val="NormalWeb"/>
        <w:spacing w:before="0" w:beforeAutospacing="0" w:after="0" w:afterAutospacing="0"/>
        <w:rPr>
          <w:bCs/>
        </w:rPr>
      </w:pPr>
      <w:r>
        <w:rPr>
          <w:bCs/>
        </w:rPr>
        <w:t>Students with documented and qualifying learning, physical and psychological disabilities should contact the Academic Resource Center (ARC).  Students registered with the ARC must present the instructor with a letter from the ARC outlining the recommended accommodations at the beginning of the semester.</w:t>
      </w:r>
    </w:p>
    <w:p w14:paraId="5AE1CD3D" w14:textId="77777777" w:rsidR="00A23310" w:rsidRDefault="00A23310" w:rsidP="00A23310">
      <w:pPr>
        <w:pStyle w:val="NormalWeb"/>
        <w:spacing w:before="0" w:beforeAutospacing="0" w:after="0" w:afterAutospacing="0"/>
        <w:rPr>
          <w:bCs/>
        </w:rPr>
      </w:pPr>
      <w:r>
        <w:rPr>
          <w:bCs/>
        </w:rPr>
        <w:t xml:space="preserve">Resources are available for all students, including those not registered with ARC, when they experience overwhelming life events or academic pressures. For more information, please see: </w:t>
      </w:r>
      <w:r>
        <w:rPr>
          <w:bCs/>
          <w:color w:val="0000FF"/>
          <w:u w:val="single"/>
        </w:rPr>
        <w:t>http://caps.georgetown.edu/</w:t>
      </w:r>
    </w:p>
    <w:p w14:paraId="238B9319" w14:textId="77777777" w:rsidR="00A23310" w:rsidRDefault="00A23310" w:rsidP="00A23310">
      <w:pPr>
        <w:rPr>
          <w:bCs/>
          <w:szCs w:val="24"/>
        </w:rPr>
      </w:pPr>
    </w:p>
    <w:p w14:paraId="3C96FC2D" w14:textId="77777777" w:rsidR="00A23310" w:rsidRDefault="00A23310" w:rsidP="00A23310">
      <w:pPr>
        <w:rPr>
          <w:szCs w:val="24"/>
        </w:rPr>
      </w:pPr>
      <w:r>
        <w:rPr>
          <w:b/>
          <w:szCs w:val="24"/>
        </w:rPr>
        <w:t>Grading</w:t>
      </w:r>
      <w:r>
        <w:rPr>
          <w:szCs w:val="24"/>
        </w:rPr>
        <w:t>:</w:t>
      </w:r>
    </w:p>
    <w:p w14:paraId="075518E0" w14:textId="77777777" w:rsidR="00A23310" w:rsidRDefault="00A23310" w:rsidP="00A23310">
      <w:pPr>
        <w:rPr>
          <w:szCs w:val="24"/>
        </w:rPr>
      </w:pPr>
    </w:p>
    <w:p w14:paraId="66A80AA3" w14:textId="61AA974C" w:rsidR="00A23310" w:rsidRDefault="00A23310" w:rsidP="00A23310">
      <w:pPr>
        <w:rPr>
          <w:szCs w:val="24"/>
        </w:rPr>
      </w:pPr>
      <w:r>
        <w:rPr>
          <w:i/>
          <w:iCs/>
          <w:szCs w:val="24"/>
        </w:rPr>
        <w:t xml:space="preserve">Participation </w:t>
      </w:r>
      <w:r>
        <w:rPr>
          <w:szCs w:val="24"/>
        </w:rPr>
        <w:t>(25%):</w:t>
      </w:r>
      <w:r>
        <w:rPr>
          <w:i/>
          <w:iCs/>
          <w:szCs w:val="24"/>
        </w:rPr>
        <w:t xml:space="preserve"> </w:t>
      </w:r>
      <w:r>
        <w:rPr>
          <w:szCs w:val="24"/>
        </w:rPr>
        <w:t xml:space="preserve">The success of this course will depend on students coming prepared to discussions sessions and participating actively in our shared conversation. Each week, beginning in the third week, two students will lead the discussion by presenting a succinct summary of the readings and raising questions for the group based on those readings. Furthermore, students will be expected to write </w:t>
      </w:r>
      <w:r w:rsidR="001D2424">
        <w:rPr>
          <w:szCs w:val="24"/>
        </w:rPr>
        <w:t>a brief blog post (1-3 paragraphs) on the readings on our Blackboard discussion forum each week, focusing especially on the literary selections for that week</w:t>
      </w:r>
      <w:r>
        <w:rPr>
          <w:szCs w:val="24"/>
        </w:rPr>
        <w:t>.</w:t>
      </w:r>
      <w:r w:rsidR="00834074">
        <w:rPr>
          <w:szCs w:val="24"/>
        </w:rPr>
        <w:t xml:space="preserve"> When given a prompt, the post must be a response to that prompt.</w:t>
      </w:r>
      <w:r>
        <w:rPr>
          <w:szCs w:val="24"/>
        </w:rPr>
        <w:t xml:space="preserve"> </w:t>
      </w:r>
    </w:p>
    <w:p w14:paraId="57ACF112" w14:textId="0BEB561A" w:rsidR="00A23310" w:rsidRDefault="00DF29C0" w:rsidP="00A23310">
      <w:pPr>
        <w:rPr>
          <w:szCs w:val="24"/>
        </w:rPr>
      </w:pPr>
      <w:r>
        <w:rPr>
          <w:noProof/>
          <w:lang w:eastAsia="en-US"/>
        </w:rPr>
        <mc:AlternateContent>
          <mc:Choice Requires="wps">
            <w:drawing>
              <wp:anchor distT="0" distB="0" distL="114300" distR="114300" simplePos="0" relativeHeight="251659264" behindDoc="0" locked="0" layoutInCell="1" allowOverlap="1" wp14:anchorId="0BAB5739" wp14:editId="7D569682">
                <wp:simplePos x="0" y="0"/>
                <wp:positionH relativeFrom="column">
                  <wp:posOffset>-114300</wp:posOffset>
                </wp:positionH>
                <wp:positionV relativeFrom="paragraph">
                  <wp:posOffset>31115</wp:posOffset>
                </wp:positionV>
                <wp:extent cx="3667125" cy="2667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3667125" cy="2667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B18017D" w14:textId="77777777" w:rsidR="00554FBD" w:rsidRPr="008035FF" w:rsidRDefault="00554FBD" w:rsidP="007B5B41">
                            <w:pPr>
                              <w:rPr>
                                <w:i/>
                                <w:iCs/>
                              </w:rPr>
                            </w:pPr>
                            <w:r>
                              <w:rPr>
                                <w:i/>
                                <w:iCs/>
                                <w:szCs w:val="24"/>
                              </w:rPr>
                              <w:t xml:space="preserve">Map quiz </w:t>
                            </w:r>
                            <w:r>
                              <w:rPr>
                                <w:szCs w:val="24"/>
                              </w:rPr>
                              <w:t xml:space="preserve">(5%) </w:t>
                            </w:r>
                            <w:r w:rsidRPr="00FA6C06">
                              <w:rPr>
                                <w:i/>
                                <w:szCs w:val="24"/>
                              </w:rPr>
                              <w:t>and b</w:t>
                            </w:r>
                            <w:r>
                              <w:rPr>
                                <w:i/>
                                <w:szCs w:val="24"/>
                              </w:rPr>
                              <w:t xml:space="preserve">asic timelines and terms quiz </w:t>
                            </w:r>
                            <w:r>
                              <w:rPr>
                                <w:szCs w:val="24"/>
                              </w:rPr>
                              <w:t>(10%)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BAB5739" id="_x0000_t202" coordsize="21600,21600" o:spt="202" path="m,l,21600r21600,l21600,xe">
                <v:stroke joinstyle="miter"/>
                <v:path gradientshapeok="t" o:connecttype="rect"/>
              </v:shapetype>
              <v:shape id="Text Box 1" o:spid="_x0000_s1026" type="#_x0000_t202" style="position:absolute;margin-left:-9pt;margin-top:2.45pt;width:288.75pt;height:21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ZPfFWgIAAJ4EAAAOAAAAZHJzL2Uyb0RvYy54bWysVF1P2zAUfZ+0/2D5vSTp0gJRUxSKOk1C&#13;&#10;gFQmnl3HaSIltmUbEjbtv+/YaUthe5r24twvX997zr1ZXA1dS16EsY2SOU3OYkqE5Kps5C6n3x/X&#13;&#10;kwtKrGOyZK2SIqevwtKr5edPi15nYqpq1ZbCECSRNut1TmvndBZFlteiY/ZMaSHhrJTpmINqdlFp&#13;&#10;WI/sXRtN43ge9cqU2igurIX1ZnTSZchfVYK7+6qywpE2p6jNhdOEc+vPaLlg2c4wXTd8Xwb7hyo6&#13;&#10;1kg8ekx1wxwjz6b5I1XXcKOsqtwZV12kqqrhIvSAbpL4QzebmmkRegE4Vh9hsv8vLb97eTCkKcEd&#13;&#10;JZJ1oOhRDI5cq4EkHp1e2wxBG40wN8DsI/d2C6NveqhM579oh8APnF+P2PpkHMYv8/l5Mp1RwuGb&#13;&#10;QokD+NHbbW2s+ypUR7yQUwPuAqTs5dY6vIjQQ4h/TKp107aBv1a+MyBwtIgwAONtlqESiD7S1xTI&#13;&#10;+bmanU+L89nlZF7MkkmaxBeTooink5t1ERdxul5dpte/fLvIebgfeUjG1r3khu2wx2OrylfAZNQ4&#13;&#10;ZlbzdYNebpl1D8xgroAMdsXd46ha1edU7SVKamV+/M3u40E3vJT0mNOcSiwSJe03iTG4TNLUj3VQ&#13;&#10;UjQDxZx6tqce+dytFBYBVKO2IPp41x7EyqjuCQtV+DfhYpLj5Zy6g7hy4+5gIbkoihCEQdbM3cqN&#13;&#10;5j61B9jz9Dg8MaP3ZDqAd6cO88yyD5yOsf6m1cWzA7OBcA/viCkI8AqWIFCxX1i/Zad6iHr7rSx/&#13;&#10;AwAA//8DAFBLAwQUAAYACAAAACEAAaJYBuAAAAANAQAADwAAAGRycy9kb3ducmV2LnhtbEyPwU7D&#13;&#10;MBBE70j8g7VI3FonVVMlaZwKtXAGCh/gxkscEq+j2G0DX89ygstKo9HMzqt2sxvEBafQeVKQLhMQ&#13;&#10;SI03HbUK3t+eFjmIEDUZPXhCBV8YYFff3lS6NP5Kr3g5xlZwCYVSK7AxjqWUobHodFj6EYm9Dz85&#13;&#10;HVlOrTSTvnK5G+QqSTbS6Y74g9Uj7i02/fHsFOSJe+77YvUS3Po7zez+4B/HT6Xu7+bDls/DFkTE&#13;&#10;Of4l4JeB90PNw07+TCaIQcEizRkoKlgXINjPsiIDcWK9KUDWlfxPUf8AAAD//wMAUEsBAi0AFAAG&#13;&#10;AAgAAAAhALaDOJL+AAAA4QEAABMAAAAAAAAAAAAAAAAAAAAAAFtDb250ZW50X1R5cGVzXS54bWxQ&#13;&#10;SwECLQAUAAYACAAAACEAOP0h/9YAAACUAQAACwAAAAAAAAAAAAAAAAAvAQAAX3JlbHMvLnJlbHNQ&#13;&#10;SwECLQAUAAYACAAAACEAymT3xVoCAACeBAAADgAAAAAAAAAAAAAAAAAuAgAAZHJzL2Uyb0RvYy54&#13;&#10;bWxQSwECLQAUAAYACAAAACEAAaJYBuAAAAANAQAADwAAAAAAAAAAAAAAAAC0BAAAZHJzL2Rvd25y&#13;&#10;ZXYueG1sUEsFBgAAAAAEAAQA8wAAAMEFAAAAAA==&#13;&#10;" filled="f" stroked="f">
                <v:textbox style="mso-fit-shape-to-text:t">
                  <w:txbxContent>
                    <w:p w14:paraId="3B18017D" w14:textId="77777777" w:rsidR="00554FBD" w:rsidRPr="008035FF" w:rsidRDefault="00554FBD" w:rsidP="007B5B41">
                      <w:pPr>
                        <w:rPr>
                          <w:i/>
                          <w:iCs/>
                        </w:rPr>
                      </w:pPr>
                      <w:r>
                        <w:rPr>
                          <w:i/>
                          <w:iCs/>
                          <w:szCs w:val="24"/>
                        </w:rPr>
                        <w:t xml:space="preserve">Map quiz </w:t>
                      </w:r>
                      <w:r>
                        <w:rPr>
                          <w:szCs w:val="24"/>
                        </w:rPr>
                        <w:t xml:space="preserve">(5%) </w:t>
                      </w:r>
                      <w:r w:rsidRPr="00FA6C06">
                        <w:rPr>
                          <w:i/>
                          <w:szCs w:val="24"/>
                        </w:rPr>
                        <w:t>and b</w:t>
                      </w:r>
                      <w:r>
                        <w:rPr>
                          <w:i/>
                          <w:szCs w:val="24"/>
                        </w:rPr>
                        <w:t xml:space="preserve">asic timelines and terms quiz </w:t>
                      </w:r>
                      <w:r>
                        <w:rPr>
                          <w:szCs w:val="24"/>
                        </w:rPr>
                        <w:t>(10%)</w:t>
                      </w:r>
                    </w:p>
                  </w:txbxContent>
                </v:textbox>
                <w10:wrap type="square"/>
              </v:shape>
            </w:pict>
          </mc:Fallback>
        </mc:AlternateContent>
      </w:r>
    </w:p>
    <w:p w14:paraId="1387212C" w14:textId="6A27977C" w:rsidR="00A23310" w:rsidRDefault="00A23310" w:rsidP="00A23310">
      <w:pPr>
        <w:rPr>
          <w:i/>
          <w:iCs/>
          <w:szCs w:val="24"/>
        </w:rPr>
      </w:pPr>
    </w:p>
    <w:p w14:paraId="42103E92" w14:textId="6ECA232E" w:rsidR="00A23310" w:rsidRDefault="00A23310" w:rsidP="00A23310">
      <w:pPr>
        <w:rPr>
          <w:szCs w:val="24"/>
        </w:rPr>
      </w:pPr>
      <w:r>
        <w:rPr>
          <w:i/>
          <w:iCs/>
          <w:szCs w:val="24"/>
        </w:rPr>
        <w:t xml:space="preserve">Primary source analysis </w:t>
      </w:r>
      <w:r>
        <w:rPr>
          <w:szCs w:val="24"/>
        </w:rPr>
        <w:t>(15%): Students must identify one primary sources that he/she will use as evidence for the final paper. These may be drawn from the primary sources provided in the syllabus or found elsewhere. In a 3-page paper, students must explain clearly the context of these sources, provide a brief summary of their contents and indicate how these sources are of relevance to the topic chosen for the final essay. The analyses may build upon the blog posts the student has posted on Blackboard.</w:t>
      </w:r>
    </w:p>
    <w:p w14:paraId="043D399D" w14:textId="77777777" w:rsidR="00A23310" w:rsidRDefault="00A23310" w:rsidP="00A23310">
      <w:pPr>
        <w:rPr>
          <w:i/>
          <w:iCs/>
          <w:szCs w:val="24"/>
        </w:rPr>
      </w:pPr>
    </w:p>
    <w:p w14:paraId="3BD7F5F5" w14:textId="44EDB744" w:rsidR="00A23310" w:rsidRDefault="00A23310" w:rsidP="00A23310">
      <w:pPr>
        <w:rPr>
          <w:szCs w:val="24"/>
        </w:rPr>
      </w:pPr>
      <w:r>
        <w:rPr>
          <w:i/>
          <w:iCs/>
          <w:szCs w:val="24"/>
        </w:rPr>
        <w:t>Annotated bibliography (15%)</w:t>
      </w:r>
      <w:r>
        <w:rPr>
          <w:szCs w:val="24"/>
        </w:rPr>
        <w:t xml:space="preserve">: Students will be expected to turn in a 3 page annotated bibliography of their research readings in preparation of their final essay. The bibliography must include a minimum of five academic </w:t>
      </w:r>
      <w:r w:rsidR="00834074">
        <w:rPr>
          <w:szCs w:val="24"/>
        </w:rPr>
        <w:t>sources</w:t>
      </w:r>
      <w:r>
        <w:rPr>
          <w:szCs w:val="24"/>
        </w:rPr>
        <w:t xml:space="preserve"> outside of required class readings. (This list may include selections from the optional readings provided in this syllabus.</w:t>
      </w:r>
      <w:r w:rsidR="001D2424">
        <w:rPr>
          <w:szCs w:val="24"/>
        </w:rPr>
        <w:t xml:space="preserve"> At least one reading must be a book-length monograph.</w:t>
      </w:r>
      <w:r>
        <w:rPr>
          <w:szCs w:val="24"/>
        </w:rPr>
        <w:t xml:space="preserve">) Annotations must make clear the central thesis of the work and should include a critical assessment of this thesis and the evidence provided in its support. </w:t>
      </w:r>
    </w:p>
    <w:p w14:paraId="67037B23" w14:textId="77777777" w:rsidR="00A23310" w:rsidRDefault="00A23310" w:rsidP="00A23310">
      <w:pPr>
        <w:rPr>
          <w:szCs w:val="24"/>
        </w:rPr>
      </w:pPr>
    </w:p>
    <w:p w14:paraId="0B97E454" w14:textId="77777777" w:rsidR="00A23310" w:rsidRDefault="00A23310" w:rsidP="00A23310">
      <w:pPr>
        <w:rPr>
          <w:szCs w:val="24"/>
        </w:rPr>
      </w:pPr>
      <w:r>
        <w:rPr>
          <w:i/>
          <w:iCs/>
          <w:szCs w:val="24"/>
        </w:rPr>
        <w:t>Final essay</w:t>
      </w:r>
      <w:r>
        <w:rPr>
          <w:szCs w:val="24"/>
        </w:rPr>
        <w:t xml:space="preserve"> (30%): Students will be required to write a 10-12 page research paper (not including the bibliography) on one of the topics discussed in this class, to be decided in consultation with the instructor. It is strongly encouraged that students start researching their topics early in the course. All essays must be original and present a clear argument with supporting evidence. The paper must </w:t>
      </w:r>
      <w:r>
        <w:rPr>
          <w:bCs/>
          <w:iCs/>
          <w:szCs w:val="24"/>
        </w:rPr>
        <w:t>draw upon the annotated bibliography developed for the assignment listed above and must draw upon at least two primary sources</w:t>
      </w:r>
      <w:r>
        <w:rPr>
          <w:szCs w:val="24"/>
        </w:rPr>
        <w:t xml:space="preserve">. </w:t>
      </w:r>
    </w:p>
    <w:p w14:paraId="5D1F3298" w14:textId="77777777" w:rsidR="00A23310" w:rsidRDefault="00A23310" w:rsidP="00A23310">
      <w:pPr>
        <w:rPr>
          <w:szCs w:val="24"/>
        </w:rPr>
      </w:pPr>
      <w:r>
        <w:rPr>
          <w:szCs w:val="24"/>
        </w:rPr>
        <w:t xml:space="preserve">Students are required to meet with the instructor in advance for approval of the topic early in the semester. Students are strongly encouraged to submit a detailed, written outline for the paper, </w:t>
      </w:r>
      <w:r>
        <w:rPr>
          <w:szCs w:val="24"/>
        </w:rPr>
        <w:lastRenderedPageBreak/>
        <w:t xml:space="preserve">indicating their thesis and the evidence used in its support, in advance of this meeting with the instructor.  </w:t>
      </w:r>
    </w:p>
    <w:p w14:paraId="10E4E762" w14:textId="77777777" w:rsidR="00A23310" w:rsidRDefault="00A23310" w:rsidP="00A23310">
      <w:pPr>
        <w:rPr>
          <w:szCs w:val="24"/>
        </w:rPr>
      </w:pPr>
    </w:p>
    <w:p w14:paraId="48D40F99" w14:textId="589E0756" w:rsidR="00C32693" w:rsidRDefault="00C32693" w:rsidP="00A23310">
      <w:pPr>
        <w:rPr>
          <w:szCs w:val="24"/>
        </w:rPr>
      </w:pPr>
      <w:r>
        <w:rPr>
          <w:i/>
          <w:szCs w:val="24"/>
        </w:rPr>
        <w:t>Optional</w:t>
      </w:r>
      <w:r>
        <w:rPr>
          <w:szCs w:val="24"/>
        </w:rPr>
        <w:t>: In lieu of a research essay, students may submit a creative work (no more than 8 pages) with a shorter explanatory essay attached (5-6 pages), explaining the choices made by the student and the research evidence used in composing the creative piece. The piece may be a pastiche of any of the genres we have come across in our exploration of the literary pasts of South Asia or an original work of historical fiction. Students MUST receive prior approval for this option and discuss in depth their plan with the instructor.</w:t>
      </w:r>
    </w:p>
    <w:p w14:paraId="35B6B876" w14:textId="77777777" w:rsidR="00C32693" w:rsidRPr="00C32693" w:rsidRDefault="00C32693" w:rsidP="00A23310">
      <w:pPr>
        <w:rPr>
          <w:szCs w:val="24"/>
        </w:rPr>
      </w:pPr>
    </w:p>
    <w:p w14:paraId="388D5F3D" w14:textId="77777777" w:rsidR="00A23310" w:rsidRDefault="00A23310" w:rsidP="00A23310">
      <w:pPr>
        <w:rPr>
          <w:szCs w:val="24"/>
        </w:rPr>
      </w:pPr>
      <w:r>
        <w:rPr>
          <w:szCs w:val="24"/>
        </w:rPr>
        <w:t xml:space="preserve">Late submission will result in the loss of one grade for each day the assignment is late. </w:t>
      </w:r>
    </w:p>
    <w:p w14:paraId="228B6953" w14:textId="77777777" w:rsidR="00A23310" w:rsidRDefault="00A23310" w:rsidP="00A23310">
      <w:pPr>
        <w:rPr>
          <w:szCs w:val="24"/>
        </w:rPr>
      </w:pPr>
    </w:p>
    <w:p w14:paraId="5954578A" w14:textId="77777777" w:rsidR="00A23310" w:rsidRDefault="00A23310" w:rsidP="00A23310">
      <w:pPr>
        <w:rPr>
          <w:szCs w:val="24"/>
        </w:rPr>
      </w:pPr>
      <w:r>
        <w:rPr>
          <w:szCs w:val="24"/>
        </w:rPr>
        <w:t xml:space="preserve">All written work for the course must be double-spaced, paginated, in 12-point Times New Roman type, with one-inch margins on all four sides, and with your name, name of the class and the date, single-spaced and in the upper left-hand corner of the first page. The title of the paper or assignment must be presented in bold 12-point font on the first page. Footnotes must be in 10-point font and single-spaced; do not use endnotes or in-line, parenthetical citations. </w:t>
      </w:r>
    </w:p>
    <w:p w14:paraId="13AF206D" w14:textId="77777777" w:rsidR="00A23310" w:rsidRDefault="00A23310" w:rsidP="00A23310">
      <w:pPr>
        <w:rPr>
          <w:szCs w:val="24"/>
        </w:rPr>
      </w:pPr>
      <w:r>
        <w:rPr>
          <w:szCs w:val="24"/>
        </w:rPr>
        <w:t xml:space="preserve">Please use the Chicago style for all citations: </w:t>
      </w:r>
      <w:hyperlink r:id="rId4" w:history="1">
        <w:r>
          <w:rPr>
            <w:rStyle w:val="Hyperlink"/>
            <w:szCs w:val="24"/>
          </w:rPr>
          <w:t>http://www.chicagomanualofstyle.org/tools_citationguide.html</w:t>
        </w:r>
      </w:hyperlink>
    </w:p>
    <w:p w14:paraId="407BC087" w14:textId="77777777" w:rsidR="00A23310" w:rsidRDefault="00A23310" w:rsidP="00A23310">
      <w:pPr>
        <w:rPr>
          <w:b/>
          <w:bCs/>
          <w:szCs w:val="24"/>
        </w:rPr>
      </w:pPr>
    </w:p>
    <w:p w14:paraId="6695C718" w14:textId="77777777" w:rsidR="00A23310" w:rsidRDefault="00A23310" w:rsidP="00A23310">
      <w:pPr>
        <w:rPr>
          <w:b/>
          <w:bCs/>
          <w:szCs w:val="24"/>
        </w:rPr>
      </w:pPr>
      <w:r>
        <w:rPr>
          <w:b/>
          <w:bCs/>
          <w:szCs w:val="24"/>
        </w:rPr>
        <w:t>The penalty for plagiarism in this course will be an automatic grade of F. Please familiarize yourself with the provisions of the honor code.</w:t>
      </w:r>
    </w:p>
    <w:p w14:paraId="1B03CB92" w14:textId="77777777" w:rsidR="00A23310" w:rsidRDefault="00A23310" w:rsidP="00A23310">
      <w:pPr>
        <w:rPr>
          <w:szCs w:val="24"/>
        </w:rPr>
      </w:pPr>
    </w:p>
    <w:p w14:paraId="7BA5706F" w14:textId="77777777" w:rsidR="00A23310" w:rsidRDefault="00A23310" w:rsidP="00A23310">
      <w:pPr>
        <w:rPr>
          <w:b/>
          <w:bCs/>
          <w:szCs w:val="24"/>
        </w:rPr>
      </w:pPr>
      <w:r>
        <w:rPr>
          <w:b/>
          <w:bCs/>
          <w:szCs w:val="24"/>
        </w:rPr>
        <w:t>Required books:</w:t>
      </w:r>
    </w:p>
    <w:p w14:paraId="14D74EB5" w14:textId="77777777" w:rsidR="00296378" w:rsidRPr="006F17BB" w:rsidRDefault="001D2424" w:rsidP="00A23310">
      <w:pPr>
        <w:rPr>
          <w:bCs/>
          <w:szCs w:val="24"/>
        </w:rPr>
      </w:pPr>
      <w:r>
        <w:rPr>
          <w:bCs/>
          <w:szCs w:val="24"/>
        </w:rPr>
        <w:t xml:space="preserve">Salman Rushdie, </w:t>
      </w:r>
      <w:r>
        <w:rPr>
          <w:bCs/>
          <w:i/>
          <w:szCs w:val="24"/>
        </w:rPr>
        <w:t xml:space="preserve">Midnight’s Children </w:t>
      </w:r>
      <w:r w:rsidR="006F17BB">
        <w:rPr>
          <w:bCs/>
          <w:szCs w:val="24"/>
        </w:rPr>
        <w:t>(any edition)</w:t>
      </w:r>
    </w:p>
    <w:p w14:paraId="27EC55E6" w14:textId="77777777" w:rsidR="00A93AC2" w:rsidRPr="001D2424" w:rsidRDefault="00A93AC2" w:rsidP="00A23310">
      <w:pPr>
        <w:rPr>
          <w:bCs/>
          <w:szCs w:val="24"/>
        </w:rPr>
      </w:pPr>
    </w:p>
    <w:p w14:paraId="30A81818" w14:textId="77777777" w:rsidR="00A23310" w:rsidRDefault="00A23310" w:rsidP="00A23310">
      <w:pPr>
        <w:rPr>
          <w:szCs w:val="24"/>
        </w:rPr>
      </w:pPr>
      <w:r>
        <w:rPr>
          <w:b/>
          <w:bCs/>
          <w:szCs w:val="24"/>
        </w:rPr>
        <w:t>E-reserve (Blackboard)</w:t>
      </w:r>
      <w:r>
        <w:rPr>
          <w:szCs w:val="24"/>
        </w:rPr>
        <w:t>:</w:t>
      </w:r>
    </w:p>
    <w:p w14:paraId="3BB12BC2" w14:textId="77777777" w:rsidR="00A23310" w:rsidRDefault="00A23310" w:rsidP="00A23310">
      <w:pPr>
        <w:rPr>
          <w:szCs w:val="24"/>
        </w:rPr>
      </w:pPr>
      <w:r>
        <w:rPr>
          <w:szCs w:val="24"/>
        </w:rPr>
        <w:t>Unless otherwise specified, all readings will be made available online.</w:t>
      </w:r>
    </w:p>
    <w:p w14:paraId="16E87F8E" w14:textId="77777777" w:rsidR="00A23310" w:rsidRDefault="00A23310" w:rsidP="00A23310">
      <w:pPr>
        <w:rPr>
          <w:b/>
          <w:bCs/>
          <w:szCs w:val="24"/>
        </w:rPr>
      </w:pPr>
    </w:p>
    <w:p w14:paraId="70722866" w14:textId="77777777" w:rsidR="00A23310" w:rsidRDefault="00A23310" w:rsidP="00A23310">
      <w:pPr>
        <w:rPr>
          <w:szCs w:val="24"/>
        </w:rPr>
      </w:pPr>
      <w:r>
        <w:rPr>
          <w:b/>
          <w:bCs/>
          <w:szCs w:val="24"/>
        </w:rPr>
        <w:t>Readings</w:t>
      </w:r>
      <w:r>
        <w:rPr>
          <w:szCs w:val="24"/>
        </w:rPr>
        <w:t>:</w:t>
      </w:r>
    </w:p>
    <w:p w14:paraId="6684CBA3" w14:textId="77777777" w:rsidR="00A23310" w:rsidRDefault="00A23310" w:rsidP="00A23310">
      <w:pPr>
        <w:rPr>
          <w:szCs w:val="24"/>
        </w:rPr>
      </w:pPr>
    </w:p>
    <w:p w14:paraId="0F850C5A" w14:textId="35201F7D" w:rsidR="00A23310" w:rsidRDefault="00A23310" w:rsidP="00A23310">
      <w:pPr>
        <w:rPr>
          <w:i/>
          <w:iCs/>
          <w:szCs w:val="24"/>
        </w:rPr>
      </w:pPr>
      <w:r>
        <w:rPr>
          <w:i/>
          <w:iCs/>
          <w:szCs w:val="24"/>
        </w:rPr>
        <w:t>1/12</w:t>
      </w:r>
      <w:r w:rsidR="006D25D8">
        <w:rPr>
          <w:i/>
          <w:iCs/>
          <w:szCs w:val="24"/>
        </w:rPr>
        <w:t>; 1/17</w:t>
      </w:r>
      <w:r>
        <w:rPr>
          <w:i/>
          <w:iCs/>
          <w:szCs w:val="24"/>
        </w:rPr>
        <w:t xml:space="preserve">: </w:t>
      </w:r>
      <w:r w:rsidR="00834074">
        <w:rPr>
          <w:i/>
          <w:iCs/>
          <w:szCs w:val="24"/>
        </w:rPr>
        <w:t>Listening to the sages</w:t>
      </w:r>
    </w:p>
    <w:p w14:paraId="1152BF08" w14:textId="3D4E4968" w:rsidR="00834074" w:rsidRDefault="00834074" w:rsidP="00A23310">
      <w:pPr>
        <w:rPr>
          <w:iCs/>
          <w:szCs w:val="24"/>
        </w:rPr>
      </w:pPr>
      <w:r>
        <w:rPr>
          <w:iCs/>
          <w:szCs w:val="24"/>
        </w:rPr>
        <w:t xml:space="preserve">Michael </w:t>
      </w:r>
      <w:proofErr w:type="spellStart"/>
      <w:r>
        <w:rPr>
          <w:iCs/>
          <w:szCs w:val="24"/>
        </w:rPr>
        <w:t>Witzel</w:t>
      </w:r>
      <w:proofErr w:type="spellEnd"/>
      <w:r>
        <w:rPr>
          <w:iCs/>
          <w:szCs w:val="24"/>
        </w:rPr>
        <w:t xml:space="preserve"> and Stephanie Jamison, “Vedic Hinduism,” sections I, II and IV</w:t>
      </w:r>
    </w:p>
    <w:p w14:paraId="0AA9F5DC" w14:textId="79E6A8B6" w:rsidR="00351C76" w:rsidRDefault="00351C76" w:rsidP="00A23310">
      <w:pPr>
        <w:rPr>
          <w:iCs/>
          <w:szCs w:val="24"/>
        </w:rPr>
      </w:pPr>
      <w:r>
        <w:rPr>
          <w:iCs/>
          <w:szCs w:val="24"/>
        </w:rPr>
        <w:t>Bruce Lincoln, “</w:t>
      </w:r>
      <w:r w:rsidR="00834074">
        <w:rPr>
          <w:iCs/>
          <w:szCs w:val="24"/>
        </w:rPr>
        <w:t xml:space="preserve">How to read a religious text: reflections on some passages of the </w:t>
      </w:r>
      <w:proofErr w:type="spellStart"/>
      <w:r w:rsidR="00834074">
        <w:rPr>
          <w:iCs/>
          <w:szCs w:val="24"/>
        </w:rPr>
        <w:t>Chandogya</w:t>
      </w:r>
      <w:proofErr w:type="spellEnd"/>
      <w:r w:rsidR="00834074">
        <w:rPr>
          <w:iCs/>
          <w:szCs w:val="24"/>
        </w:rPr>
        <w:t xml:space="preserve"> </w:t>
      </w:r>
      <w:proofErr w:type="spellStart"/>
      <w:r w:rsidR="00834074">
        <w:rPr>
          <w:iCs/>
          <w:szCs w:val="24"/>
        </w:rPr>
        <w:t>Upanisad</w:t>
      </w:r>
      <w:proofErr w:type="spellEnd"/>
      <w:r w:rsidR="00834074">
        <w:rPr>
          <w:iCs/>
          <w:szCs w:val="24"/>
        </w:rPr>
        <w:t xml:space="preserve">,” </w:t>
      </w:r>
      <w:r w:rsidR="00834074">
        <w:rPr>
          <w:i/>
          <w:iCs/>
          <w:szCs w:val="24"/>
        </w:rPr>
        <w:t>History of Religions</w:t>
      </w:r>
      <w:r w:rsidR="00834074">
        <w:rPr>
          <w:iCs/>
          <w:szCs w:val="24"/>
        </w:rPr>
        <w:t>, Vol. 46, No. 2 (2006): 127-139</w:t>
      </w:r>
    </w:p>
    <w:p w14:paraId="0AA2A42C" w14:textId="77777777" w:rsidR="00834074" w:rsidRDefault="00834074" w:rsidP="00A23310">
      <w:pPr>
        <w:rPr>
          <w:iCs/>
          <w:szCs w:val="24"/>
        </w:rPr>
      </w:pPr>
    </w:p>
    <w:p w14:paraId="1C80E322" w14:textId="17965D34" w:rsidR="00834074" w:rsidRPr="00834074" w:rsidRDefault="00834074" w:rsidP="00A23310">
      <w:pPr>
        <w:rPr>
          <w:i/>
          <w:iCs/>
          <w:szCs w:val="24"/>
        </w:rPr>
      </w:pPr>
      <w:r>
        <w:rPr>
          <w:i/>
          <w:iCs/>
          <w:szCs w:val="24"/>
        </w:rPr>
        <w:t>Primary source:</w:t>
      </w:r>
    </w:p>
    <w:p w14:paraId="4AF37BF1" w14:textId="47E7D813" w:rsidR="00834074" w:rsidRDefault="00834074" w:rsidP="00A23310">
      <w:pPr>
        <w:rPr>
          <w:iCs/>
          <w:szCs w:val="24"/>
        </w:rPr>
      </w:pPr>
      <w:proofErr w:type="spellStart"/>
      <w:r>
        <w:rPr>
          <w:iCs/>
          <w:szCs w:val="24"/>
        </w:rPr>
        <w:t>Chandogya</w:t>
      </w:r>
      <w:proofErr w:type="spellEnd"/>
      <w:r>
        <w:rPr>
          <w:iCs/>
          <w:szCs w:val="24"/>
        </w:rPr>
        <w:t xml:space="preserve"> </w:t>
      </w:r>
      <w:proofErr w:type="spellStart"/>
      <w:r>
        <w:rPr>
          <w:iCs/>
          <w:szCs w:val="24"/>
        </w:rPr>
        <w:t>Upanisad</w:t>
      </w:r>
      <w:proofErr w:type="spellEnd"/>
      <w:r>
        <w:rPr>
          <w:iCs/>
          <w:szCs w:val="24"/>
        </w:rPr>
        <w:t>, chapters 1, 4.1-3</w:t>
      </w:r>
    </w:p>
    <w:p w14:paraId="7E378DE4" w14:textId="77777777" w:rsidR="00A23310" w:rsidRDefault="00A23310" w:rsidP="00A23310"/>
    <w:p w14:paraId="7C92F9A5" w14:textId="77777777" w:rsidR="00834074" w:rsidRDefault="00A23310" w:rsidP="00834074">
      <w:pPr>
        <w:rPr>
          <w:i/>
          <w:iCs/>
          <w:szCs w:val="24"/>
        </w:rPr>
      </w:pPr>
      <w:r>
        <w:rPr>
          <w:szCs w:val="24"/>
        </w:rPr>
        <w:t>1/19</w:t>
      </w:r>
      <w:r w:rsidR="006D25D8">
        <w:rPr>
          <w:szCs w:val="24"/>
        </w:rPr>
        <w:t>; 1/24</w:t>
      </w:r>
      <w:r>
        <w:rPr>
          <w:i/>
          <w:iCs/>
          <w:szCs w:val="24"/>
        </w:rPr>
        <w:t>:</w:t>
      </w:r>
      <w:r>
        <w:rPr>
          <w:szCs w:val="24"/>
        </w:rPr>
        <w:t xml:space="preserve"> </w:t>
      </w:r>
      <w:r w:rsidR="00834074">
        <w:rPr>
          <w:i/>
          <w:iCs/>
          <w:szCs w:val="24"/>
        </w:rPr>
        <w:t>Sanskrit cosmopolis</w:t>
      </w:r>
    </w:p>
    <w:p w14:paraId="09CE99A9" w14:textId="76B25B6A" w:rsidR="00B41D59" w:rsidRPr="00B41D59" w:rsidRDefault="008814F5" w:rsidP="00A23310">
      <w:pPr>
        <w:rPr>
          <w:szCs w:val="24"/>
        </w:rPr>
      </w:pPr>
      <w:r>
        <w:rPr>
          <w:szCs w:val="24"/>
        </w:rPr>
        <w:t xml:space="preserve">Sheldon Pollock, </w:t>
      </w:r>
      <w:r w:rsidR="00B41D59">
        <w:rPr>
          <w:szCs w:val="24"/>
        </w:rPr>
        <w:t xml:space="preserve">“The Sanskrit Cosmopolis, 300-1300: Transculturation, </w:t>
      </w:r>
      <w:proofErr w:type="spellStart"/>
      <w:r w:rsidR="00B41D59">
        <w:rPr>
          <w:szCs w:val="24"/>
        </w:rPr>
        <w:t>Vernacularization</w:t>
      </w:r>
      <w:proofErr w:type="spellEnd"/>
      <w:r w:rsidR="00B41D59">
        <w:rPr>
          <w:szCs w:val="24"/>
        </w:rPr>
        <w:t xml:space="preserve">, and the Question of Ideology,” in </w:t>
      </w:r>
      <w:r w:rsidR="00B41D59">
        <w:rPr>
          <w:i/>
          <w:szCs w:val="24"/>
        </w:rPr>
        <w:t>The Ideology and Status of Sanskrit</w:t>
      </w:r>
      <w:r w:rsidR="00B41D59">
        <w:rPr>
          <w:szCs w:val="24"/>
        </w:rPr>
        <w:t xml:space="preserve">, ed. Jan E. M. </w:t>
      </w:r>
      <w:proofErr w:type="spellStart"/>
      <w:r w:rsidR="00B41D59">
        <w:rPr>
          <w:szCs w:val="24"/>
        </w:rPr>
        <w:t>Houben</w:t>
      </w:r>
      <w:proofErr w:type="spellEnd"/>
      <w:r w:rsidR="00B41D59">
        <w:rPr>
          <w:szCs w:val="24"/>
        </w:rPr>
        <w:t xml:space="preserve"> (Leiden: Brill, 1996): 197-249</w:t>
      </w:r>
    </w:p>
    <w:p w14:paraId="4AE80C11" w14:textId="3F725EC8" w:rsidR="008814F5" w:rsidRPr="00B41D59" w:rsidRDefault="00B41D59" w:rsidP="00A23310">
      <w:pPr>
        <w:rPr>
          <w:szCs w:val="24"/>
        </w:rPr>
      </w:pPr>
      <w:r>
        <w:rPr>
          <w:szCs w:val="24"/>
        </w:rPr>
        <w:t xml:space="preserve">David Ludden, </w:t>
      </w:r>
      <w:r>
        <w:rPr>
          <w:i/>
          <w:szCs w:val="24"/>
        </w:rPr>
        <w:t>India and South Asia: A Short History</w:t>
      </w:r>
      <w:r>
        <w:rPr>
          <w:szCs w:val="24"/>
        </w:rPr>
        <w:t xml:space="preserve"> (</w:t>
      </w:r>
      <w:r w:rsidR="00901B61">
        <w:rPr>
          <w:szCs w:val="24"/>
        </w:rPr>
        <w:t xml:space="preserve">London: </w:t>
      </w:r>
      <w:proofErr w:type="spellStart"/>
      <w:r>
        <w:rPr>
          <w:szCs w:val="24"/>
        </w:rPr>
        <w:t>OneWorld</w:t>
      </w:r>
      <w:proofErr w:type="spellEnd"/>
      <w:r>
        <w:rPr>
          <w:szCs w:val="24"/>
        </w:rPr>
        <w:t>, 2013):</w:t>
      </w:r>
      <w:r w:rsidR="00901B61">
        <w:rPr>
          <w:szCs w:val="24"/>
        </w:rPr>
        <w:t xml:space="preserve"> 53-85</w:t>
      </w:r>
    </w:p>
    <w:p w14:paraId="21AB05AF" w14:textId="77777777" w:rsidR="00901B61" w:rsidRDefault="00901B61" w:rsidP="00A23310">
      <w:pPr>
        <w:rPr>
          <w:i/>
          <w:szCs w:val="24"/>
        </w:rPr>
      </w:pPr>
    </w:p>
    <w:p w14:paraId="4E6C5E66" w14:textId="4EC10F27" w:rsidR="008814F5" w:rsidRDefault="008814F5" w:rsidP="00A23310">
      <w:pPr>
        <w:rPr>
          <w:szCs w:val="24"/>
        </w:rPr>
      </w:pPr>
      <w:r>
        <w:rPr>
          <w:i/>
          <w:szCs w:val="24"/>
        </w:rPr>
        <w:t>Primary source</w:t>
      </w:r>
      <w:r>
        <w:rPr>
          <w:szCs w:val="24"/>
        </w:rPr>
        <w:t xml:space="preserve">: </w:t>
      </w:r>
    </w:p>
    <w:p w14:paraId="5A3F7039" w14:textId="32C413A4" w:rsidR="008814F5" w:rsidRPr="008814F5" w:rsidRDefault="001805C1" w:rsidP="00A23310">
      <w:pPr>
        <w:rPr>
          <w:szCs w:val="24"/>
        </w:rPr>
      </w:pPr>
      <w:r>
        <w:rPr>
          <w:szCs w:val="24"/>
        </w:rPr>
        <w:lastRenderedPageBreak/>
        <w:t xml:space="preserve">Extract from </w:t>
      </w:r>
      <w:proofErr w:type="spellStart"/>
      <w:r w:rsidR="008814F5">
        <w:rPr>
          <w:szCs w:val="24"/>
        </w:rPr>
        <w:t>Dandin</w:t>
      </w:r>
      <w:proofErr w:type="spellEnd"/>
      <w:r w:rsidR="008814F5">
        <w:rPr>
          <w:szCs w:val="24"/>
        </w:rPr>
        <w:t xml:space="preserve">, </w:t>
      </w:r>
      <w:proofErr w:type="spellStart"/>
      <w:r w:rsidR="008814F5">
        <w:rPr>
          <w:i/>
          <w:szCs w:val="24"/>
        </w:rPr>
        <w:t>Kavyadarsa</w:t>
      </w:r>
      <w:proofErr w:type="spellEnd"/>
      <w:r w:rsidR="008814F5">
        <w:rPr>
          <w:i/>
          <w:szCs w:val="24"/>
        </w:rPr>
        <w:t xml:space="preserve"> </w:t>
      </w:r>
      <w:r w:rsidR="008814F5">
        <w:rPr>
          <w:szCs w:val="24"/>
        </w:rPr>
        <w:t xml:space="preserve">(trans. S. </w:t>
      </w:r>
      <w:proofErr w:type="spellStart"/>
      <w:r w:rsidR="008814F5">
        <w:rPr>
          <w:szCs w:val="24"/>
        </w:rPr>
        <w:t>Belvalkar</w:t>
      </w:r>
      <w:proofErr w:type="spellEnd"/>
      <w:r w:rsidR="008814F5">
        <w:rPr>
          <w:szCs w:val="24"/>
        </w:rPr>
        <w:t>)</w:t>
      </w:r>
    </w:p>
    <w:p w14:paraId="03473AC1" w14:textId="77777777" w:rsidR="008814F5" w:rsidRDefault="008814F5" w:rsidP="00A23310">
      <w:pPr>
        <w:rPr>
          <w:szCs w:val="24"/>
        </w:rPr>
      </w:pPr>
    </w:p>
    <w:p w14:paraId="78D90F5D" w14:textId="77777777" w:rsidR="00834074" w:rsidRPr="000C7F81" w:rsidRDefault="00A23310" w:rsidP="00834074">
      <w:pPr>
        <w:rPr>
          <w:i/>
          <w:iCs/>
          <w:szCs w:val="24"/>
        </w:rPr>
      </w:pPr>
      <w:r>
        <w:rPr>
          <w:szCs w:val="24"/>
        </w:rPr>
        <w:t>1/26</w:t>
      </w:r>
      <w:r w:rsidR="006D25D8">
        <w:rPr>
          <w:szCs w:val="24"/>
        </w:rPr>
        <w:t>; 1/31</w:t>
      </w:r>
      <w:r>
        <w:rPr>
          <w:szCs w:val="24"/>
        </w:rPr>
        <w:t>:</w:t>
      </w:r>
      <w:r>
        <w:rPr>
          <w:i/>
          <w:iCs/>
          <w:szCs w:val="24"/>
        </w:rPr>
        <w:t xml:space="preserve"> </w:t>
      </w:r>
      <w:r w:rsidR="00834074">
        <w:rPr>
          <w:i/>
          <w:szCs w:val="24"/>
        </w:rPr>
        <w:t>Speaking locally</w:t>
      </w:r>
    </w:p>
    <w:p w14:paraId="474D35FF" w14:textId="421D2BB9" w:rsidR="00A23310" w:rsidRPr="001B6685" w:rsidRDefault="00901B61" w:rsidP="00A23310">
      <w:pPr>
        <w:rPr>
          <w:szCs w:val="24"/>
        </w:rPr>
      </w:pPr>
      <w:r>
        <w:rPr>
          <w:szCs w:val="24"/>
        </w:rPr>
        <w:t xml:space="preserve">Christian </w:t>
      </w:r>
      <w:proofErr w:type="spellStart"/>
      <w:r>
        <w:rPr>
          <w:szCs w:val="24"/>
        </w:rPr>
        <w:t>Novetzke</w:t>
      </w:r>
      <w:proofErr w:type="spellEnd"/>
      <w:r>
        <w:rPr>
          <w:szCs w:val="24"/>
        </w:rPr>
        <w:t xml:space="preserve">, </w:t>
      </w:r>
      <w:r>
        <w:rPr>
          <w:i/>
          <w:szCs w:val="24"/>
        </w:rPr>
        <w:t>The Quotidian Revolution</w:t>
      </w:r>
      <w:r w:rsidR="001B6685">
        <w:rPr>
          <w:i/>
          <w:szCs w:val="24"/>
        </w:rPr>
        <w:t xml:space="preserve"> </w:t>
      </w:r>
      <w:r w:rsidR="001B6685">
        <w:rPr>
          <w:szCs w:val="24"/>
        </w:rPr>
        <w:t>(New York: Columbia University Press, 2016):</w:t>
      </w:r>
      <w:r w:rsidR="001B6685">
        <w:rPr>
          <w:i/>
          <w:szCs w:val="24"/>
        </w:rPr>
        <w:t xml:space="preserve"> </w:t>
      </w:r>
      <w:r w:rsidR="001B6685">
        <w:rPr>
          <w:szCs w:val="24"/>
        </w:rPr>
        <w:t>39-102, 114-127.</w:t>
      </w:r>
    </w:p>
    <w:p w14:paraId="7BC9F170" w14:textId="63693698" w:rsidR="00901B61" w:rsidRPr="001B6685" w:rsidRDefault="001B6685" w:rsidP="00A23310">
      <w:pPr>
        <w:rPr>
          <w:szCs w:val="24"/>
        </w:rPr>
      </w:pPr>
      <w:r>
        <w:rPr>
          <w:szCs w:val="24"/>
        </w:rPr>
        <w:t xml:space="preserve">G. N. </w:t>
      </w:r>
      <w:proofErr w:type="spellStart"/>
      <w:r>
        <w:rPr>
          <w:szCs w:val="24"/>
        </w:rPr>
        <w:t>Devy</w:t>
      </w:r>
      <w:proofErr w:type="spellEnd"/>
      <w:r>
        <w:rPr>
          <w:szCs w:val="24"/>
        </w:rPr>
        <w:t>, “</w:t>
      </w:r>
      <w:proofErr w:type="spellStart"/>
      <w:r>
        <w:rPr>
          <w:szCs w:val="24"/>
        </w:rPr>
        <w:t>Jnanadeva’s</w:t>
      </w:r>
      <w:proofErr w:type="spellEnd"/>
      <w:r>
        <w:rPr>
          <w:szCs w:val="24"/>
        </w:rPr>
        <w:t xml:space="preserve"> Agenda” in </w:t>
      </w:r>
      <w:r>
        <w:rPr>
          <w:i/>
          <w:szCs w:val="24"/>
        </w:rPr>
        <w:t xml:space="preserve">The G N </w:t>
      </w:r>
      <w:proofErr w:type="spellStart"/>
      <w:r>
        <w:rPr>
          <w:i/>
          <w:szCs w:val="24"/>
        </w:rPr>
        <w:t>Devy</w:t>
      </w:r>
      <w:proofErr w:type="spellEnd"/>
      <w:r>
        <w:rPr>
          <w:i/>
          <w:szCs w:val="24"/>
        </w:rPr>
        <w:t xml:space="preserve"> Reader</w:t>
      </w:r>
      <w:r>
        <w:rPr>
          <w:szCs w:val="24"/>
        </w:rPr>
        <w:t xml:space="preserve"> (New Delhi: Orient </w:t>
      </w:r>
      <w:proofErr w:type="spellStart"/>
      <w:r>
        <w:rPr>
          <w:szCs w:val="24"/>
        </w:rPr>
        <w:t>BlackSwan</w:t>
      </w:r>
      <w:proofErr w:type="spellEnd"/>
      <w:r>
        <w:rPr>
          <w:szCs w:val="24"/>
        </w:rPr>
        <w:t>, 2009): 49-59</w:t>
      </w:r>
    </w:p>
    <w:p w14:paraId="72753409" w14:textId="77777777" w:rsidR="001B6685" w:rsidRDefault="001B6685" w:rsidP="00A23310">
      <w:pPr>
        <w:rPr>
          <w:i/>
          <w:szCs w:val="24"/>
        </w:rPr>
      </w:pPr>
    </w:p>
    <w:p w14:paraId="0D4050CC" w14:textId="486AC7F5" w:rsidR="00901B61" w:rsidRDefault="00901B61" w:rsidP="00A23310">
      <w:pPr>
        <w:rPr>
          <w:i/>
          <w:szCs w:val="24"/>
        </w:rPr>
      </w:pPr>
      <w:r>
        <w:rPr>
          <w:i/>
          <w:szCs w:val="24"/>
        </w:rPr>
        <w:t>Primary Source:</w:t>
      </w:r>
      <w:r>
        <w:rPr>
          <w:i/>
          <w:szCs w:val="24"/>
        </w:rPr>
        <w:br/>
      </w:r>
      <w:r w:rsidR="001805C1">
        <w:rPr>
          <w:szCs w:val="24"/>
        </w:rPr>
        <w:t xml:space="preserve">Extract from </w:t>
      </w:r>
      <w:proofErr w:type="spellStart"/>
      <w:r>
        <w:rPr>
          <w:szCs w:val="24"/>
        </w:rPr>
        <w:t>Jnandeva</w:t>
      </w:r>
      <w:proofErr w:type="spellEnd"/>
      <w:r>
        <w:rPr>
          <w:szCs w:val="24"/>
        </w:rPr>
        <w:t xml:space="preserve">, </w:t>
      </w:r>
      <w:proofErr w:type="spellStart"/>
      <w:r>
        <w:rPr>
          <w:i/>
          <w:szCs w:val="24"/>
        </w:rPr>
        <w:t>Bhavarta</w:t>
      </w:r>
      <w:proofErr w:type="spellEnd"/>
      <w:r>
        <w:rPr>
          <w:i/>
          <w:szCs w:val="24"/>
        </w:rPr>
        <w:t xml:space="preserve"> </w:t>
      </w:r>
      <w:proofErr w:type="spellStart"/>
      <w:r>
        <w:rPr>
          <w:i/>
          <w:szCs w:val="24"/>
        </w:rPr>
        <w:t>Dipika</w:t>
      </w:r>
      <w:proofErr w:type="spellEnd"/>
    </w:p>
    <w:p w14:paraId="238204C5" w14:textId="77777777" w:rsidR="00901B61" w:rsidRPr="00901B61" w:rsidRDefault="00901B61" w:rsidP="00A23310">
      <w:pPr>
        <w:rPr>
          <w:i/>
          <w:szCs w:val="24"/>
        </w:rPr>
      </w:pPr>
    </w:p>
    <w:p w14:paraId="781D5CC9" w14:textId="3378E0FF" w:rsidR="000C7F81" w:rsidRPr="000C7F81" w:rsidRDefault="00A23310" w:rsidP="000C7F81">
      <w:pPr>
        <w:rPr>
          <w:i/>
          <w:iCs/>
          <w:szCs w:val="24"/>
        </w:rPr>
      </w:pPr>
      <w:r>
        <w:rPr>
          <w:szCs w:val="24"/>
        </w:rPr>
        <w:t>2/2</w:t>
      </w:r>
      <w:r w:rsidR="006D25D8">
        <w:rPr>
          <w:szCs w:val="24"/>
        </w:rPr>
        <w:t>; 2/7</w:t>
      </w:r>
      <w:r>
        <w:rPr>
          <w:i/>
          <w:iCs/>
          <w:szCs w:val="24"/>
        </w:rPr>
        <w:t>:</w:t>
      </w:r>
      <w:r w:rsidR="00834074">
        <w:rPr>
          <w:i/>
          <w:iCs/>
          <w:szCs w:val="24"/>
        </w:rPr>
        <w:t xml:space="preserve"> The </w:t>
      </w:r>
      <w:r w:rsidR="00901B61">
        <w:rPr>
          <w:i/>
          <w:iCs/>
          <w:szCs w:val="24"/>
        </w:rPr>
        <w:t>Sultan</w:t>
      </w:r>
      <w:r w:rsidR="00206C07">
        <w:rPr>
          <w:i/>
          <w:iCs/>
          <w:szCs w:val="24"/>
        </w:rPr>
        <w:t xml:space="preserve"> and the Sheikh</w:t>
      </w:r>
    </w:p>
    <w:p w14:paraId="197D9377" w14:textId="430536D1" w:rsidR="000C7F81" w:rsidRDefault="00901B61" w:rsidP="00A23310">
      <w:pPr>
        <w:rPr>
          <w:szCs w:val="24"/>
        </w:rPr>
      </w:pPr>
      <w:r>
        <w:rPr>
          <w:szCs w:val="24"/>
        </w:rPr>
        <w:t>Simon Digby, “The Sufi Shaykh and the Sultan”</w:t>
      </w:r>
    </w:p>
    <w:p w14:paraId="3A14D647" w14:textId="0927562F" w:rsidR="00901B61" w:rsidRDefault="00901B61" w:rsidP="00A23310">
      <w:pPr>
        <w:rPr>
          <w:szCs w:val="24"/>
        </w:rPr>
      </w:pPr>
      <w:r>
        <w:rPr>
          <w:szCs w:val="24"/>
        </w:rPr>
        <w:t>Richard Eaton, “Sufi folk Literature and the Expansion of Indian Islam”</w:t>
      </w:r>
    </w:p>
    <w:p w14:paraId="7622CF34" w14:textId="68AEE117" w:rsidR="00BD19E1" w:rsidRDefault="00BD19E1" w:rsidP="00BD19E1">
      <w:pPr>
        <w:rPr>
          <w:iCs/>
          <w:szCs w:val="24"/>
        </w:rPr>
      </w:pPr>
      <w:r>
        <w:rPr>
          <w:iCs/>
          <w:szCs w:val="24"/>
        </w:rPr>
        <w:t xml:space="preserve">Muzaffar </w:t>
      </w:r>
      <w:proofErr w:type="spellStart"/>
      <w:r>
        <w:rPr>
          <w:iCs/>
          <w:szCs w:val="24"/>
        </w:rPr>
        <w:t>Alam</w:t>
      </w:r>
      <w:proofErr w:type="spellEnd"/>
      <w:r>
        <w:rPr>
          <w:iCs/>
          <w:szCs w:val="24"/>
        </w:rPr>
        <w:t>, “The Culture and Politics of Persian in Precolonial Hindustan,” 131-158</w:t>
      </w:r>
    </w:p>
    <w:p w14:paraId="452204A4" w14:textId="77777777" w:rsidR="00901B61" w:rsidRDefault="00901B61" w:rsidP="00A23310">
      <w:pPr>
        <w:rPr>
          <w:szCs w:val="24"/>
        </w:rPr>
      </w:pPr>
    </w:p>
    <w:p w14:paraId="75B1B195" w14:textId="22C297CB" w:rsidR="00BD19E1" w:rsidRPr="00A953DB" w:rsidRDefault="00901B61" w:rsidP="00A23310">
      <w:pPr>
        <w:rPr>
          <w:i/>
          <w:szCs w:val="24"/>
        </w:rPr>
      </w:pPr>
      <w:r>
        <w:rPr>
          <w:i/>
          <w:szCs w:val="24"/>
        </w:rPr>
        <w:t>Primary source:</w:t>
      </w:r>
    </w:p>
    <w:p w14:paraId="5344896F" w14:textId="08DF90AA" w:rsidR="00901B61" w:rsidRDefault="00901B61" w:rsidP="00A23310">
      <w:pPr>
        <w:rPr>
          <w:szCs w:val="24"/>
        </w:rPr>
      </w:pPr>
      <w:r>
        <w:rPr>
          <w:szCs w:val="24"/>
        </w:rPr>
        <w:t xml:space="preserve">Selections from Amir </w:t>
      </w:r>
      <w:proofErr w:type="spellStart"/>
      <w:r>
        <w:rPr>
          <w:szCs w:val="24"/>
        </w:rPr>
        <w:t>Khusrau</w:t>
      </w:r>
      <w:proofErr w:type="spellEnd"/>
    </w:p>
    <w:p w14:paraId="24F93E81" w14:textId="77777777" w:rsidR="00901B61" w:rsidRPr="00901B61" w:rsidRDefault="00901B61" w:rsidP="00A23310">
      <w:pPr>
        <w:rPr>
          <w:szCs w:val="24"/>
        </w:rPr>
      </w:pPr>
    </w:p>
    <w:p w14:paraId="018F0D3B" w14:textId="77777777" w:rsidR="00A23310" w:rsidRDefault="00A23310" w:rsidP="00A23310">
      <w:pPr>
        <w:rPr>
          <w:b/>
          <w:iCs/>
          <w:szCs w:val="24"/>
        </w:rPr>
      </w:pPr>
      <w:r>
        <w:rPr>
          <w:b/>
          <w:iCs/>
          <w:szCs w:val="24"/>
        </w:rPr>
        <w:t xml:space="preserve">MAP QUIZ </w:t>
      </w:r>
    </w:p>
    <w:p w14:paraId="67FB5178" w14:textId="77777777" w:rsidR="00A23310" w:rsidRPr="00FA6C06" w:rsidRDefault="00A23310" w:rsidP="00A23310">
      <w:pPr>
        <w:rPr>
          <w:b/>
          <w:iCs/>
          <w:szCs w:val="24"/>
        </w:rPr>
      </w:pPr>
    </w:p>
    <w:p w14:paraId="2F715BE9" w14:textId="6E82984F" w:rsidR="00A23310" w:rsidRDefault="00A23310" w:rsidP="00A23310">
      <w:pPr>
        <w:rPr>
          <w:szCs w:val="24"/>
        </w:rPr>
      </w:pPr>
      <w:r>
        <w:rPr>
          <w:szCs w:val="24"/>
        </w:rPr>
        <w:t>2/9</w:t>
      </w:r>
      <w:r w:rsidR="006D25D8">
        <w:rPr>
          <w:szCs w:val="24"/>
        </w:rPr>
        <w:t>; 2/14</w:t>
      </w:r>
      <w:r>
        <w:rPr>
          <w:i/>
          <w:iCs/>
          <w:szCs w:val="24"/>
        </w:rPr>
        <w:t>:</w:t>
      </w:r>
      <w:r>
        <w:rPr>
          <w:szCs w:val="24"/>
        </w:rPr>
        <w:t xml:space="preserve"> </w:t>
      </w:r>
      <w:r w:rsidR="00834074">
        <w:rPr>
          <w:i/>
          <w:iCs/>
          <w:szCs w:val="24"/>
        </w:rPr>
        <w:t>Singing outside</w:t>
      </w:r>
    </w:p>
    <w:p w14:paraId="3D0EB1A6" w14:textId="1D8F6EFB" w:rsidR="001B6685" w:rsidRPr="00C32693" w:rsidRDefault="002033AE" w:rsidP="00A23310">
      <w:pPr>
        <w:rPr>
          <w:i/>
          <w:szCs w:val="24"/>
        </w:rPr>
      </w:pPr>
      <w:r>
        <w:rPr>
          <w:szCs w:val="24"/>
        </w:rPr>
        <w:t xml:space="preserve">Excerpts from </w:t>
      </w:r>
      <w:r w:rsidR="001B6685">
        <w:rPr>
          <w:szCs w:val="24"/>
        </w:rPr>
        <w:t xml:space="preserve">John Stratton Hawley, </w:t>
      </w:r>
      <w:r w:rsidR="00C32693">
        <w:rPr>
          <w:i/>
          <w:szCs w:val="24"/>
        </w:rPr>
        <w:t>Three Bhakti Voices</w:t>
      </w:r>
    </w:p>
    <w:p w14:paraId="082F5F50" w14:textId="4D772FE7" w:rsidR="001B6685" w:rsidRPr="001805C1" w:rsidRDefault="0022053C" w:rsidP="00A23310">
      <w:pPr>
        <w:rPr>
          <w:szCs w:val="24"/>
        </w:rPr>
      </w:pPr>
      <w:r>
        <w:rPr>
          <w:szCs w:val="24"/>
        </w:rPr>
        <w:t xml:space="preserve">Karen </w:t>
      </w:r>
      <w:proofErr w:type="spellStart"/>
      <w:r>
        <w:rPr>
          <w:szCs w:val="24"/>
        </w:rPr>
        <w:t>Pechilis</w:t>
      </w:r>
      <w:proofErr w:type="spellEnd"/>
      <w:r w:rsidR="001805C1">
        <w:rPr>
          <w:szCs w:val="24"/>
        </w:rPr>
        <w:t xml:space="preserve">, “The Story of the Classical Tamil Woman Saint, </w:t>
      </w:r>
      <w:r>
        <w:rPr>
          <w:szCs w:val="24"/>
        </w:rPr>
        <w:t xml:space="preserve">, </w:t>
      </w:r>
      <w:proofErr w:type="spellStart"/>
      <w:r>
        <w:rPr>
          <w:szCs w:val="24"/>
        </w:rPr>
        <w:t>Karaikkal</w:t>
      </w:r>
      <w:proofErr w:type="spellEnd"/>
      <w:r>
        <w:rPr>
          <w:szCs w:val="24"/>
        </w:rPr>
        <w:t xml:space="preserve"> </w:t>
      </w:r>
      <w:proofErr w:type="spellStart"/>
      <w:r>
        <w:rPr>
          <w:szCs w:val="24"/>
        </w:rPr>
        <w:t>Ammaiyar</w:t>
      </w:r>
      <w:proofErr w:type="spellEnd"/>
      <w:r w:rsidR="001805C1">
        <w:rPr>
          <w:szCs w:val="24"/>
        </w:rPr>
        <w:t xml:space="preserve">: A Translation of her story from </w:t>
      </w:r>
      <w:proofErr w:type="spellStart"/>
      <w:r w:rsidR="001805C1">
        <w:rPr>
          <w:szCs w:val="24"/>
        </w:rPr>
        <w:t>Cekkilar’s</w:t>
      </w:r>
      <w:proofErr w:type="spellEnd"/>
      <w:r w:rsidR="001805C1">
        <w:rPr>
          <w:szCs w:val="24"/>
        </w:rPr>
        <w:t xml:space="preserve"> </w:t>
      </w:r>
      <w:proofErr w:type="spellStart"/>
      <w:r w:rsidR="001805C1">
        <w:rPr>
          <w:i/>
          <w:szCs w:val="24"/>
        </w:rPr>
        <w:t>Periya</w:t>
      </w:r>
      <w:proofErr w:type="spellEnd"/>
      <w:r w:rsidR="001805C1">
        <w:rPr>
          <w:i/>
          <w:szCs w:val="24"/>
        </w:rPr>
        <w:t xml:space="preserve"> Puranam</w:t>
      </w:r>
      <w:r w:rsidR="001805C1">
        <w:rPr>
          <w:szCs w:val="24"/>
        </w:rPr>
        <w:t xml:space="preserve">,” </w:t>
      </w:r>
      <w:r w:rsidR="001805C1">
        <w:rPr>
          <w:i/>
          <w:szCs w:val="24"/>
        </w:rPr>
        <w:t>International Journal of Hindu Studies</w:t>
      </w:r>
      <w:r w:rsidR="001805C1">
        <w:rPr>
          <w:szCs w:val="24"/>
        </w:rPr>
        <w:t>, Vol. 10, No. 2 (2006): 171-184</w:t>
      </w:r>
    </w:p>
    <w:p w14:paraId="6536485A" w14:textId="77777777" w:rsidR="0022053C" w:rsidRDefault="0022053C" w:rsidP="00A23310">
      <w:pPr>
        <w:rPr>
          <w:i/>
          <w:szCs w:val="24"/>
        </w:rPr>
      </w:pPr>
    </w:p>
    <w:p w14:paraId="4518F0ED" w14:textId="3A249976" w:rsidR="00901B61" w:rsidRDefault="00901B61" w:rsidP="00A23310">
      <w:pPr>
        <w:rPr>
          <w:szCs w:val="24"/>
        </w:rPr>
      </w:pPr>
      <w:r>
        <w:rPr>
          <w:i/>
          <w:szCs w:val="24"/>
        </w:rPr>
        <w:t>Primary source:</w:t>
      </w:r>
      <w:r>
        <w:rPr>
          <w:i/>
          <w:szCs w:val="24"/>
        </w:rPr>
        <w:br/>
      </w:r>
      <w:r>
        <w:rPr>
          <w:szCs w:val="24"/>
        </w:rPr>
        <w:t xml:space="preserve">Selections of </w:t>
      </w:r>
      <w:r w:rsidR="002033AE">
        <w:rPr>
          <w:szCs w:val="24"/>
        </w:rPr>
        <w:t xml:space="preserve">female </w:t>
      </w:r>
      <w:r w:rsidR="002D0F5F">
        <w:rPr>
          <w:i/>
          <w:szCs w:val="24"/>
        </w:rPr>
        <w:t xml:space="preserve">bhakti </w:t>
      </w:r>
      <w:r w:rsidR="002033AE">
        <w:rPr>
          <w:szCs w:val="24"/>
        </w:rPr>
        <w:t>poets</w:t>
      </w:r>
    </w:p>
    <w:p w14:paraId="5EAC3C87" w14:textId="77777777" w:rsidR="00901B61" w:rsidRPr="00901B61" w:rsidRDefault="00901B61" w:rsidP="00A23310">
      <w:pPr>
        <w:rPr>
          <w:szCs w:val="24"/>
        </w:rPr>
      </w:pPr>
    </w:p>
    <w:p w14:paraId="66DB1810" w14:textId="5DB3E564" w:rsidR="00A23310" w:rsidRDefault="00A23310" w:rsidP="00A23310">
      <w:pPr>
        <w:rPr>
          <w:i/>
          <w:iCs/>
          <w:szCs w:val="24"/>
        </w:rPr>
      </w:pPr>
      <w:r>
        <w:rPr>
          <w:szCs w:val="24"/>
        </w:rPr>
        <w:t>2/16; 2/21</w:t>
      </w:r>
      <w:r w:rsidRPr="00682839">
        <w:rPr>
          <w:iCs/>
          <w:szCs w:val="24"/>
        </w:rPr>
        <w:t>:</w:t>
      </w:r>
      <w:r>
        <w:rPr>
          <w:i/>
          <w:iCs/>
          <w:szCs w:val="24"/>
        </w:rPr>
        <w:t xml:space="preserve"> </w:t>
      </w:r>
      <w:r w:rsidR="00834074">
        <w:rPr>
          <w:i/>
          <w:iCs/>
          <w:szCs w:val="24"/>
        </w:rPr>
        <w:t>The Mughal court</w:t>
      </w:r>
    </w:p>
    <w:p w14:paraId="6EBA25E9" w14:textId="1DEFDADC" w:rsidR="000D507E" w:rsidRPr="001805C1" w:rsidRDefault="00BD19E1" w:rsidP="001805C1">
      <w:pPr>
        <w:widowControl/>
        <w:rPr>
          <w:rFonts w:eastAsia="Times New Roman"/>
          <w:kern w:val="0"/>
          <w:szCs w:val="24"/>
          <w:lang w:eastAsia="en-US"/>
        </w:rPr>
      </w:pPr>
      <w:r>
        <w:rPr>
          <w:iCs/>
          <w:szCs w:val="24"/>
        </w:rPr>
        <w:t xml:space="preserve">Audrey </w:t>
      </w:r>
      <w:proofErr w:type="spellStart"/>
      <w:r>
        <w:rPr>
          <w:iCs/>
          <w:szCs w:val="24"/>
        </w:rPr>
        <w:t>Truschke</w:t>
      </w:r>
      <w:proofErr w:type="spellEnd"/>
      <w:r>
        <w:rPr>
          <w:iCs/>
          <w:szCs w:val="24"/>
        </w:rPr>
        <w:t xml:space="preserve">, </w:t>
      </w:r>
      <w:r w:rsidR="001B6685">
        <w:rPr>
          <w:i/>
          <w:iCs/>
          <w:szCs w:val="24"/>
        </w:rPr>
        <w:t>Culture of Encounters</w:t>
      </w:r>
      <w:r w:rsidR="00582F98">
        <w:rPr>
          <w:iCs/>
          <w:szCs w:val="24"/>
        </w:rPr>
        <w:t xml:space="preserve"> (New York: Columbia University Press, 2016): 27-63 (166-202 </w:t>
      </w:r>
      <w:r w:rsidR="00582F98" w:rsidRPr="001805C1">
        <w:rPr>
          <w:i/>
          <w:iCs/>
          <w:szCs w:val="24"/>
        </w:rPr>
        <w:t>optional</w:t>
      </w:r>
      <w:r w:rsidR="00582F98">
        <w:rPr>
          <w:iCs/>
          <w:szCs w:val="24"/>
        </w:rPr>
        <w:t xml:space="preserve">) </w:t>
      </w:r>
      <w:r w:rsidR="001B6685">
        <w:rPr>
          <w:i/>
          <w:iCs/>
          <w:szCs w:val="24"/>
        </w:rPr>
        <w:t xml:space="preserve"> </w:t>
      </w:r>
      <w:r>
        <w:rPr>
          <w:i/>
          <w:iCs/>
          <w:szCs w:val="24"/>
        </w:rPr>
        <w:br/>
      </w:r>
      <w:r w:rsidR="000D507E">
        <w:rPr>
          <w:iCs/>
          <w:szCs w:val="24"/>
        </w:rPr>
        <w:t>John Stratton Hawley, “Last seen with Akbar”</w:t>
      </w:r>
      <w:r w:rsidR="001805C1">
        <w:rPr>
          <w:iCs/>
          <w:szCs w:val="24"/>
        </w:rPr>
        <w:t xml:space="preserve"> in </w:t>
      </w:r>
      <w:r w:rsidR="001805C1">
        <w:rPr>
          <w:i/>
          <w:iCs/>
          <w:szCs w:val="24"/>
        </w:rPr>
        <w:t xml:space="preserve">Three Bhakti Voices, </w:t>
      </w:r>
      <w:r w:rsidR="001805C1" w:rsidRPr="001805C1">
        <w:rPr>
          <w:iCs/>
          <w:szCs w:val="24"/>
        </w:rPr>
        <w:t>181-193</w:t>
      </w:r>
    </w:p>
    <w:p w14:paraId="7BC76F1C" w14:textId="77777777" w:rsidR="00D21FC7" w:rsidRDefault="00D21FC7" w:rsidP="00D21FC7">
      <w:pPr>
        <w:rPr>
          <w:iCs/>
          <w:szCs w:val="24"/>
        </w:rPr>
      </w:pPr>
      <w:r>
        <w:rPr>
          <w:iCs/>
          <w:szCs w:val="24"/>
        </w:rPr>
        <w:t xml:space="preserve">Muzaffar </w:t>
      </w:r>
      <w:proofErr w:type="spellStart"/>
      <w:r>
        <w:rPr>
          <w:iCs/>
          <w:szCs w:val="24"/>
        </w:rPr>
        <w:t>Alam</w:t>
      </w:r>
      <w:proofErr w:type="spellEnd"/>
      <w:r>
        <w:rPr>
          <w:iCs/>
          <w:szCs w:val="24"/>
        </w:rPr>
        <w:t xml:space="preserve">, “The Culture and Politics of Persian in Precolonial Hindustan,” in Sheldon Pollock, ed., </w:t>
      </w:r>
      <w:r>
        <w:rPr>
          <w:i/>
          <w:iCs/>
          <w:szCs w:val="24"/>
        </w:rPr>
        <w:t xml:space="preserve">Literary Cultures in </w:t>
      </w:r>
      <w:r w:rsidRPr="00582F98">
        <w:rPr>
          <w:i/>
          <w:iCs/>
          <w:szCs w:val="24"/>
        </w:rPr>
        <w:t>History</w:t>
      </w:r>
      <w:r>
        <w:rPr>
          <w:iCs/>
          <w:szCs w:val="24"/>
        </w:rPr>
        <w:t xml:space="preserve"> (Berkeley: University of California, 2003): </w:t>
      </w:r>
      <w:r w:rsidRPr="00582F98">
        <w:rPr>
          <w:iCs/>
          <w:szCs w:val="24"/>
        </w:rPr>
        <w:t>159</w:t>
      </w:r>
      <w:r>
        <w:rPr>
          <w:iCs/>
          <w:szCs w:val="24"/>
        </w:rPr>
        <w:t>-189</w:t>
      </w:r>
    </w:p>
    <w:p w14:paraId="48F35DA4" w14:textId="77777777" w:rsidR="004526DE" w:rsidRDefault="004526DE" w:rsidP="00A23310">
      <w:pPr>
        <w:rPr>
          <w:iCs/>
          <w:szCs w:val="24"/>
        </w:rPr>
      </w:pPr>
    </w:p>
    <w:p w14:paraId="738947AE" w14:textId="77777777" w:rsidR="00582F98" w:rsidRDefault="00BD19E1" w:rsidP="00582F98">
      <w:pPr>
        <w:rPr>
          <w:iCs/>
          <w:szCs w:val="24"/>
        </w:rPr>
      </w:pPr>
      <w:r>
        <w:rPr>
          <w:i/>
          <w:iCs/>
          <w:szCs w:val="24"/>
        </w:rPr>
        <w:t>Primary sources:</w:t>
      </w:r>
      <w:r>
        <w:rPr>
          <w:i/>
          <w:iCs/>
          <w:szCs w:val="24"/>
        </w:rPr>
        <w:br/>
      </w:r>
      <w:r w:rsidR="00582F98">
        <w:rPr>
          <w:iCs/>
          <w:szCs w:val="24"/>
        </w:rPr>
        <w:t xml:space="preserve">Selections from </w:t>
      </w:r>
      <w:proofErr w:type="spellStart"/>
      <w:r w:rsidR="00582F98">
        <w:rPr>
          <w:iCs/>
          <w:szCs w:val="24"/>
        </w:rPr>
        <w:t>Abu’l</w:t>
      </w:r>
      <w:proofErr w:type="spellEnd"/>
      <w:r w:rsidR="00582F98">
        <w:rPr>
          <w:iCs/>
          <w:szCs w:val="24"/>
        </w:rPr>
        <w:t xml:space="preserve"> Fazal </w:t>
      </w:r>
    </w:p>
    <w:p w14:paraId="7E370DFA" w14:textId="2BD4971B" w:rsidR="00A23310" w:rsidRDefault="00BD19E1" w:rsidP="00A23310">
      <w:pPr>
        <w:rPr>
          <w:iCs/>
          <w:szCs w:val="24"/>
        </w:rPr>
      </w:pPr>
      <w:r>
        <w:rPr>
          <w:iCs/>
          <w:szCs w:val="24"/>
        </w:rPr>
        <w:t xml:space="preserve">Selections from Mir </w:t>
      </w:r>
      <w:proofErr w:type="spellStart"/>
      <w:r>
        <w:rPr>
          <w:iCs/>
          <w:szCs w:val="24"/>
        </w:rPr>
        <w:t>Taqi</w:t>
      </w:r>
      <w:proofErr w:type="spellEnd"/>
      <w:r>
        <w:rPr>
          <w:iCs/>
          <w:szCs w:val="24"/>
        </w:rPr>
        <w:t xml:space="preserve"> Mir</w:t>
      </w:r>
    </w:p>
    <w:p w14:paraId="5D068EEB" w14:textId="77777777" w:rsidR="00582F98" w:rsidRDefault="00582F98" w:rsidP="00A23310">
      <w:pPr>
        <w:rPr>
          <w:iCs/>
          <w:szCs w:val="24"/>
        </w:rPr>
      </w:pPr>
    </w:p>
    <w:p w14:paraId="21202CCE" w14:textId="28090384" w:rsidR="00A23310" w:rsidRDefault="00A23310" w:rsidP="00A23310">
      <w:pPr>
        <w:rPr>
          <w:i/>
          <w:iCs/>
          <w:szCs w:val="24"/>
        </w:rPr>
      </w:pPr>
      <w:r>
        <w:rPr>
          <w:szCs w:val="24"/>
        </w:rPr>
        <w:t>2/23; 2/28</w:t>
      </w:r>
      <w:r>
        <w:rPr>
          <w:i/>
          <w:iCs/>
          <w:szCs w:val="24"/>
        </w:rPr>
        <w:t xml:space="preserve">: </w:t>
      </w:r>
      <w:r w:rsidR="006D25D8">
        <w:rPr>
          <w:i/>
          <w:iCs/>
          <w:szCs w:val="24"/>
        </w:rPr>
        <w:t xml:space="preserve">The language of </w:t>
      </w:r>
      <w:r w:rsidR="00D21FC7">
        <w:rPr>
          <w:i/>
          <w:iCs/>
          <w:szCs w:val="24"/>
        </w:rPr>
        <w:t>command</w:t>
      </w:r>
    </w:p>
    <w:p w14:paraId="6A638D69" w14:textId="17ED0F38" w:rsidR="00A23310" w:rsidRPr="00582F98" w:rsidRDefault="004526DE" w:rsidP="00A23310">
      <w:pPr>
        <w:rPr>
          <w:iCs/>
          <w:szCs w:val="24"/>
        </w:rPr>
      </w:pPr>
      <w:r>
        <w:rPr>
          <w:iCs/>
          <w:szCs w:val="24"/>
        </w:rPr>
        <w:t xml:space="preserve">Bernard Cohn, </w:t>
      </w:r>
      <w:r>
        <w:rPr>
          <w:i/>
          <w:iCs/>
          <w:szCs w:val="24"/>
        </w:rPr>
        <w:t>Colonialism and its forms of knowledge</w:t>
      </w:r>
    </w:p>
    <w:p w14:paraId="5C91EDAE" w14:textId="48683061" w:rsidR="004526DE" w:rsidRDefault="00D71D47" w:rsidP="00A23310">
      <w:pPr>
        <w:rPr>
          <w:iCs/>
          <w:szCs w:val="24"/>
        </w:rPr>
      </w:pPr>
      <w:r>
        <w:rPr>
          <w:iCs/>
          <w:szCs w:val="24"/>
        </w:rPr>
        <w:t xml:space="preserve">Vinay </w:t>
      </w:r>
      <w:proofErr w:type="spellStart"/>
      <w:r>
        <w:rPr>
          <w:iCs/>
          <w:szCs w:val="24"/>
        </w:rPr>
        <w:t>Dhadwadkar</w:t>
      </w:r>
      <w:proofErr w:type="spellEnd"/>
      <w:r>
        <w:rPr>
          <w:iCs/>
          <w:szCs w:val="24"/>
        </w:rPr>
        <w:t>, “Orientalism and the Study of Indian Literature”</w:t>
      </w:r>
    </w:p>
    <w:p w14:paraId="000864D2" w14:textId="77777777" w:rsidR="001805C1" w:rsidRDefault="001805C1" w:rsidP="00A23310">
      <w:pPr>
        <w:rPr>
          <w:i/>
          <w:iCs/>
          <w:szCs w:val="24"/>
        </w:rPr>
      </w:pPr>
    </w:p>
    <w:p w14:paraId="565247FD" w14:textId="15ABEF4F" w:rsidR="00D71D47" w:rsidRPr="00D71D47" w:rsidRDefault="00D71D47" w:rsidP="00A23310">
      <w:pPr>
        <w:rPr>
          <w:i/>
          <w:iCs/>
          <w:szCs w:val="24"/>
        </w:rPr>
      </w:pPr>
      <w:r>
        <w:rPr>
          <w:i/>
          <w:iCs/>
          <w:szCs w:val="24"/>
        </w:rPr>
        <w:t>Optional, but highly recommended:</w:t>
      </w:r>
    </w:p>
    <w:p w14:paraId="7C6D9741" w14:textId="194F44F0" w:rsidR="00D71D47" w:rsidRDefault="00D71D47" w:rsidP="00A23310">
      <w:pPr>
        <w:rPr>
          <w:iCs/>
          <w:szCs w:val="24"/>
        </w:rPr>
      </w:pPr>
      <w:r>
        <w:rPr>
          <w:iCs/>
          <w:szCs w:val="24"/>
        </w:rPr>
        <w:lastRenderedPageBreak/>
        <w:t>Sheldon Pollock, “Deep Orientalism? Notes on Sanskrit and Power beyond the Raj”</w:t>
      </w:r>
    </w:p>
    <w:p w14:paraId="4229676C" w14:textId="77777777" w:rsidR="00D71D47" w:rsidRDefault="00D71D47" w:rsidP="00A23310">
      <w:pPr>
        <w:rPr>
          <w:i/>
          <w:iCs/>
          <w:szCs w:val="24"/>
        </w:rPr>
      </w:pPr>
    </w:p>
    <w:p w14:paraId="1536D0C4" w14:textId="0B9A3203" w:rsidR="004526DE" w:rsidRDefault="004526DE" w:rsidP="00A23310">
      <w:pPr>
        <w:rPr>
          <w:i/>
          <w:iCs/>
          <w:szCs w:val="24"/>
        </w:rPr>
      </w:pPr>
      <w:r>
        <w:rPr>
          <w:i/>
          <w:iCs/>
          <w:szCs w:val="24"/>
        </w:rPr>
        <w:t>Primary Source:</w:t>
      </w:r>
    </w:p>
    <w:p w14:paraId="72F3BCAD" w14:textId="61F29834" w:rsidR="004526DE" w:rsidRDefault="004526DE" w:rsidP="00A23310">
      <w:pPr>
        <w:rPr>
          <w:iCs/>
          <w:szCs w:val="24"/>
        </w:rPr>
      </w:pPr>
      <w:r>
        <w:rPr>
          <w:iCs/>
          <w:szCs w:val="24"/>
        </w:rPr>
        <w:t>Macaulay’s Minute on Education</w:t>
      </w:r>
    </w:p>
    <w:p w14:paraId="1A8E58D5" w14:textId="56248ABB" w:rsidR="004526DE" w:rsidRDefault="004526DE" w:rsidP="00A23310">
      <w:pPr>
        <w:rPr>
          <w:iCs/>
          <w:szCs w:val="24"/>
        </w:rPr>
      </w:pPr>
      <w:r>
        <w:rPr>
          <w:iCs/>
          <w:szCs w:val="24"/>
        </w:rPr>
        <w:t xml:space="preserve">William Jones, Third anniversary discourse for the Asiatic Society: </w:t>
      </w:r>
      <w:hyperlink r:id="rId5" w:history="1">
        <w:r w:rsidRPr="00CA3EDE">
          <w:rPr>
            <w:rStyle w:val="Hyperlink"/>
            <w:iCs/>
            <w:szCs w:val="24"/>
          </w:rPr>
          <w:t>http://www.eliohs.unifi.it/testi/700/jones/Jones_Discourse_3.html</w:t>
        </w:r>
      </w:hyperlink>
    </w:p>
    <w:p w14:paraId="7A42B948" w14:textId="77777777" w:rsidR="004526DE" w:rsidRPr="004526DE" w:rsidRDefault="004526DE" w:rsidP="00A23310">
      <w:pPr>
        <w:rPr>
          <w:iCs/>
          <w:szCs w:val="24"/>
        </w:rPr>
      </w:pPr>
    </w:p>
    <w:p w14:paraId="00490EE9" w14:textId="77777777" w:rsidR="00030B9B" w:rsidRDefault="00030B9B" w:rsidP="00030B9B">
      <w:pPr>
        <w:rPr>
          <w:b/>
          <w:bCs/>
          <w:szCs w:val="24"/>
        </w:rPr>
      </w:pPr>
      <w:r>
        <w:rPr>
          <w:b/>
          <w:bCs/>
          <w:szCs w:val="24"/>
        </w:rPr>
        <w:t>BASIC TIMELINES AND TERMS QUIZ</w:t>
      </w:r>
    </w:p>
    <w:p w14:paraId="707362FF" w14:textId="77777777" w:rsidR="00A23310" w:rsidRPr="00FA6C06" w:rsidRDefault="00A23310" w:rsidP="00A23310">
      <w:pPr>
        <w:rPr>
          <w:b/>
          <w:bCs/>
          <w:szCs w:val="24"/>
        </w:rPr>
      </w:pPr>
    </w:p>
    <w:p w14:paraId="0BCDEA30" w14:textId="77777777" w:rsidR="007022F6" w:rsidRDefault="006D25D8" w:rsidP="007022F6">
      <w:pPr>
        <w:rPr>
          <w:i/>
          <w:iCs/>
          <w:szCs w:val="24"/>
        </w:rPr>
      </w:pPr>
      <w:r>
        <w:rPr>
          <w:szCs w:val="24"/>
        </w:rPr>
        <w:t xml:space="preserve">3/2; </w:t>
      </w:r>
      <w:r w:rsidR="00A23310">
        <w:rPr>
          <w:szCs w:val="24"/>
        </w:rPr>
        <w:t>3/14</w:t>
      </w:r>
      <w:r w:rsidR="00A23310">
        <w:rPr>
          <w:i/>
          <w:szCs w:val="24"/>
        </w:rPr>
        <w:t xml:space="preserve">: </w:t>
      </w:r>
      <w:r w:rsidR="007022F6">
        <w:rPr>
          <w:i/>
          <w:iCs/>
          <w:szCs w:val="24"/>
        </w:rPr>
        <w:t xml:space="preserve">Articulating the nation </w:t>
      </w:r>
    </w:p>
    <w:p w14:paraId="759DD9F3" w14:textId="77777777" w:rsidR="007022F6" w:rsidRDefault="007022F6" w:rsidP="007022F6">
      <w:pPr>
        <w:rPr>
          <w:iCs/>
          <w:szCs w:val="24"/>
        </w:rPr>
      </w:pPr>
      <w:r>
        <w:rPr>
          <w:iCs/>
          <w:szCs w:val="24"/>
        </w:rPr>
        <w:t xml:space="preserve">David </w:t>
      </w:r>
      <w:proofErr w:type="spellStart"/>
      <w:r>
        <w:rPr>
          <w:iCs/>
          <w:szCs w:val="24"/>
        </w:rPr>
        <w:t>Lelyveld</w:t>
      </w:r>
      <w:proofErr w:type="spellEnd"/>
      <w:r>
        <w:rPr>
          <w:iCs/>
          <w:szCs w:val="24"/>
        </w:rPr>
        <w:t>, “The Fate of Hindustani: Colonial Knowledge and the Project of a National Language,” 189-214.</w:t>
      </w:r>
    </w:p>
    <w:p w14:paraId="43BF270E" w14:textId="77777777" w:rsidR="007022F6" w:rsidRPr="00CA618F" w:rsidRDefault="007022F6" w:rsidP="007022F6">
      <w:pPr>
        <w:rPr>
          <w:iCs/>
          <w:szCs w:val="24"/>
        </w:rPr>
      </w:pPr>
      <w:r>
        <w:rPr>
          <w:iCs/>
          <w:szCs w:val="24"/>
        </w:rPr>
        <w:t xml:space="preserve">Francesca Orsini, </w:t>
      </w:r>
      <w:r>
        <w:rPr>
          <w:i/>
          <w:iCs/>
          <w:szCs w:val="24"/>
        </w:rPr>
        <w:t>The Hindi Public Sphere, 1920-1940</w:t>
      </w:r>
      <w:r>
        <w:rPr>
          <w:iCs/>
          <w:szCs w:val="24"/>
        </w:rPr>
        <w:t xml:space="preserve"> (Oxford University Press, 2002): 125-174 (optional); 309-383 (required)</w:t>
      </w:r>
    </w:p>
    <w:p w14:paraId="0765F6BB" w14:textId="77777777" w:rsidR="00105888" w:rsidRPr="00105888" w:rsidRDefault="00105888" w:rsidP="00A23310">
      <w:pPr>
        <w:rPr>
          <w:i/>
          <w:iCs/>
          <w:szCs w:val="24"/>
        </w:rPr>
      </w:pPr>
    </w:p>
    <w:p w14:paraId="2267839D" w14:textId="77777777" w:rsidR="007022F6" w:rsidRDefault="006D25D8" w:rsidP="007022F6">
      <w:pPr>
        <w:rPr>
          <w:i/>
          <w:iCs/>
          <w:szCs w:val="24"/>
        </w:rPr>
      </w:pPr>
      <w:r>
        <w:rPr>
          <w:szCs w:val="24"/>
        </w:rPr>
        <w:t xml:space="preserve">3/16; </w:t>
      </w:r>
      <w:r w:rsidR="00A23310">
        <w:rPr>
          <w:szCs w:val="24"/>
        </w:rPr>
        <w:t>3/21</w:t>
      </w:r>
      <w:r w:rsidR="00B52E20">
        <w:rPr>
          <w:i/>
          <w:iCs/>
          <w:szCs w:val="24"/>
        </w:rPr>
        <w:t>:</w:t>
      </w:r>
      <w:r w:rsidR="007022F6">
        <w:rPr>
          <w:i/>
          <w:iCs/>
          <w:szCs w:val="24"/>
        </w:rPr>
        <w:t xml:space="preserve"> </w:t>
      </w:r>
      <w:r w:rsidR="007022F6">
        <w:rPr>
          <w:i/>
          <w:szCs w:val="24"/>
        </w:rPr>
        <w:t>The partition of language</w:t>
      </w:r>
    </w:p>
    <w:p w14:paraId="31B9AF46" w14:textId="1F37784B" w:rsidR="002D0F5F" w:rsidRDefault="002D0F5F" w:rsidP="002D0F5F">
      <w:pPr>
        <w:rPr>
          <w:iCs/>
          <w:szCs w:val="24"/>
        </w:rPr>
      </w:pPr>
      <w:r>
        <w:rPr>
          <w:iCs/>
          <w:szCs w:val="24"/>
        </w:rPr>
        <w:t xml:space="preserve">Alyssa Ayres, </w:t>
      </w:r>
      <w:r>
        <w:rPr>
          <w:i/>
          <w:szCs w:val="24"/>
        </w:rPr>
        <w:t xml:space="preserve">Speaking like a State: Language and Nationalism in Pakistan </w:t>
      </w:r>
      <w:r>
        <w:rPr>
          <w:iCs/>
          <w:szCs w:val="24"/>
        </w:rPr>
        <w:t>(Cambridge University Press, 2009)</w:t>
      </w:r>
    </w:p>
    <w:p w14:paraId="726162CF" w14:textId="4BD696B0" w:rsidR="002D0F5F" w:rsidRDefault="006762F3" w:rsidP="007022F6">
      <w:pPr>
        <w:rPr>
          <w:iCs/>
          <w:szCs w:val="24"/>
        </w:rPr>
      </w:pPr>
      <w:r>
        <w:rPr>
          <w:iCs/>
          <w:szCs w:val="24"/>
        </w:rPr>
        <w:t>France Bhattacharya,</w:t>
      </w:r>
      <w:r w:rsidR="001805C1" w:rsidRPr="001805C1">
        <w:rPr>
          <w:szCs w:val="24"/>
        </w:rPr>
        <w:t xml:space="preserve"> </w:t>
      </w:r>
      <w:r w:rsidR="001805C1">
        <w:rPr>
          <w:szCs w:val="24"/>
        </w:rPr>
        <w:t>“</w:t>
      </w:r>
      <w:r w:rsidR="001805C1" w:rsidRPr="0091629A">
        <w:rPr>
          <w:szCs w:val="24"/>
        </w:rPr>
        <w:t xml:space="preserve">East Bengal: Between Islam and Regional Identity,” in Christopher </w:t>
      </w:r>
      <w:proofErr w:type="spellStart"/>
      <w:r w:rsidR="001805C1" w:rsidRPr="0091629A">
        <w:rPr>
          <w:szCs w:val="24"/>
        </w:rPr>
        <w:t>Jaffrelot</w:t>
      </w:r>
      <w:proofErr w:type="spellEnd"/>
      <w:r w:rsidR="001805C1" w:rsidRPr="0091629A">
        <w:rPr>
          <w:szCs w:val="24"/>
        </w:rPr>
        <w:t xml:space="preserve">, ed., </w:t>
      </w:r>
      <w:r w:rsidR="001805C1" w:rsidRPr="0091629A">
        <w:rPr>
          <w:i/>
          <w:iCs/>
          <w:szCs w:val="24"/>
        </w:rPr>
        <w:t>A History of Pakistan and its Origins</w:t>
      </w:r>
      <w:r w:rsidR="001805C1" w:rsidRPr="0091629A">
        <w:rPr>
          <w:szCs w:val="24"/>
        </w:rPr>
        <w:t xml:space="preserve"> (Anthem Press, 2002): 39-60.</w:t>
      </w:r>
    </w:p>
    <w:p w14:paraId="2E0EA0A0" w14:textId="77777777" w:rsidR="006762F3" w:rsidRPr="006762F3" w:rsidRDefault="006762F3" w:rsidP="007022F6">
      <w:pPr>
        <w:rPr>
          <w:iCs/>
          <w:szCs w:val="24"/>
        </w:rPr>
      </w:pPr>
    </w:p>
    <w:p w14:paraId="126FBCB5" w14:textId="77777777" w:rsidR="007022F6" w:rsidRDefault="007022F6" w:rsidP="007022F6">
      <w:pPr>
        <w:rPr>
          <w:i/>
          <w:iCs/>
          <w:szCs w:val="24"/>
        </w:rPr>
      </w:pPr>
      <w:r>
        <w:rPr>
          <w:i/>
          <w:iCs/>
          <w:szCs w:val="24"/>
        </w:rPr>
        <w:t>Primary Sources:</w:t>
      </w:r>
    </w:p>
    <w:p w14:paraId="63A72E70" w14:textId="77777777" w:rsidR="007022F6" w:rsidRDefault="007022F6" w:rsidP="007022F6">
      <w:pPr>
        <w:rPr>
          <w:iCs/>
          <w:szCs w:val="24"/>
        </w:rPr>
      </w:pPr>
      <w:r>
        <w:rPr>
          <w:iCs/>
          <w:szCs w:val="24"/>
        </w:rPr>
        <w:t xml:space="preserve">Excerpts from Sadat Hasan </w:t>
      </w:r>
      <w:proofErr w:type="spellStart"/>
      <w:r>
        <w:rPr>
          <w:iCs/>
          <w:szCs w:val="24"/>
        </w:rPr>
        <w:t>Manto</w:t>
      </w:r>
      <w:proofErr w:type="spellEnd"/>
      <w:r>
        <w:rPr>
          <w:iCs/>
          <w:szCs w:val="24"/>
        </w:rPr>
        <w:t xml:space="preserve">, </w:t>
      </w:r>
      <w:proofErr w:type="spellStart"/>
      <w:r>
        <w:rPr>
          <w:iCs/>
          <w:szCs w:val="24"/>
        </w:rPr>
        <w:t>Shamsur</w:t>
      </w:r>
      <w:proofErr w:type="spellEnd"/>
      <w:r>
        <w:rPr>
          <w:iCs/>
          <w:szCs w:val="24"/>
        </w:rPr>
        <w:t xml:space="preserve"> Rahman, </w:t>
      </w:r>
      <w:proofErr w:type="spellStart"/>
      <w:r>
        <w:rPr>
          <w:iCs/>
          <w:szCs w:val="24"/>
        </w:rPr>
        <w:t>Kazi</w:t>
      </w:r>
      <w:proofErr w:type="spellEnd"/>
      <w:r>
        <w:rPr>
          <w:iCs/>
          <w:szCs w:val="24"/>
        </w:rPr>
        <w:t xml:space="preserve"> Nazrul Islam, </w:t>
      </w:r>
      <w:proofErr w:type="spellStart"/>
      <w:r>
        <w:rPr>
          <w:iCs/>
          <w:szCs w:val="24"/>
        </w:rPr>
        <w:t>Faiz</w:t>
      </w:r>
      <w:proofErr w:type="spellEnd"/>
      <w:r>
        <w:rPr>
          <w:iCs/>
          <w:szCs w:val="24"/>
        </w:rPr>
        <w:t xml:space="preserve"> Ahmad </w:t>
      </w:r>
      <w:proofErr w:type="spellStart"/>
      <w:r>
        <w:rPr>
          <w:iCs/>
          <w:szCs w:val="24"/>
        </w:rPr>
        <w:t>Faiz</w:t>
      </w:r>
      <w:proofErr w:type="spellEnd"/>
      <w:r>
        <w:rPr>
          <w:iCs/>
          <w:szCs w:val="24"/>
        </w:rPr>
        <w:t>, Amrita Pritam</w:t>
      </w:r>
    </w:p>
    <w:p w14:paraId="1E0CBA49" w14:textId="4FB53451" w:rsidR="00CA618F" w:rsidRDefault="00CA618F" w:rsidP="00A23310">
      <w:pPr>
        <w:rPr>
          <w:iCs/>
          <w:szCs w:val="24"/>
        </w:rPr>
      </w:pPr>
      <w:r>
        <w:rPr>
          <w:i/>
          <w:iCs/>
          <w:szCs w:val="24"/>
        </w:rPr>
        <w:t xml:space="preserve"> </w:t>
      </w:r>
    </w:p>
    <w:p w14:paraId="07A6241B" w14:textId="77777777" w:rsidR="007022F6" w:rsidRDefault="006D25D8" w:rsidP="007022F6">
      <w:pPr>
        <w:rPr>
          <w:i/>
          <w:iCs/>
          <w:szCs w:val="24"/>
        </w:rPr>
      </w:pPr>
      <w:r>
        <w:rPr>
          <w:szCs w:val="24"/>
        </w:rPr>
        <w:t xml:space="preserve">3/23; </w:t>
      </w:r>
      <w:r w:rsidR="00A23310">
        <w:rPr>
          <w:szCs w:val="24"/>
        </w:rPr>
        <w:t>3/28</w:t>
      </w:r>
      <w:r w:rsidR="00A23310">
        <w:rPr>
          <w:i/>
          <w:iCs/>
        </w:rPr>
        <w:t>:</w:t>
      </w:r>
      <w:r w:rsidR="007022F6">
        <w:rPr>
          <w:i/>
          <w:iCs/>
        </w:rPr>
        <w:t xml:space="preserve"> </w:t>
      </w:r>
      <w:r w:rsidR="007022F6">
        <w:rPr>
          <w:i/>
          <w:iCs/>
          <w:szCs w:val="24"/>
        </w:rPr>
        <w:t xml:space="preserve">How to speak in the </w:t>
      </w:r>
      <w:proofErr w:type="spellStart"/>
      <w:r w:rsidR="007022F6">
        <w:rPr>
          <w:i/>
          <w:iCs/>
          <w:szCs w:val="24"/>
        </w:rPr>
        <w:t>postcolony</w:t>
      </w:r>
      <w:proofErr w:type="spellEnd"/>
      <w:r w:rsidR="007022F6">
        <w:rPr>
          <w:i/>
          <w:iCs/>
          <w:szCs w:val="24"/>
        </w:rPr>
        <w:t xml:space="preserve"> </w:t>
      </w:r>
    </w:p>
    <w:p w14:paraId="19D28A61" w14:textId="77777777" w:rsidR="008C2E92" w:rsidRDefault="008C2E92" w:rsidP="008C2E92">
      <w:r>
        <w:t xml:space="preserve">Ramachandra Guha, </w:t>
      </w:r>
      <w:r>
        <w:rPr>
          <w:i/>
          <w:iCs/>
        </w:rPr>
        <w:t>India After Gandhi</w:t>
      </w:r>
      <w:r>
        <w:t>, 189-208</w:t>
      </w:r>
    </w:p>
    <w:p w14:paraId="3D1378F0" w14:textId="14C7CAA1" w:rsidR="008C2E92" w:rsidRPr="008C2E92" w:rsidRDefault="008C2E92" w:rsidP="008C2E92">
      <w:pPr>
        <w:rPr>
          <w:szCs w:val="24"/>
        </w:rPr>
      </w:pPr>
      <w:r>
        <w:t xml:space="preserve">Lisa Mitchell, </w:t>
      </w:r>
      <w:r>
        <w:rPr>
          <w:i/>
          <w:iCs/>
        </w:rPr>
        <w:t xml:space="preserve">Language, Emotion and Politics in South India: The Making of a Mother Tongue </w:t>
      </w:r>
      <w:r>
        <w:t xml:space="preserve">(Indiana University Press, 2009): 2-34, </w:t>
      </w:r>
      <w:r>
        <w:rPr>
          <w:szCs w:val="24"/>
        </w:rPr>
        <w:t>68-99, 189-212</w:t>
      </w:r>
    </w:p>
    <w:p w14:paraId="20BE5DA8" w14:textId="77777777" w:rsidR="00554FBD" w:rsidRDefault="00554FBD" w:rsidP="00A23310">
      <w:pPr>
        <w:rPr>
          <w:szCs w:val="24"/>
        </w:rPr>
      </w:pPr>
    </w:p>
    <w:p w14:paraId="42F36E40" w14:textId="2140D273" w:rsidR="006762F3" w:rsidRDefault="006762F3" w:rsidP="00A23310">
      <w:pPr>
        <w:rPr>
          <w:i/>
          <w:iCs/>
          <w:szCs w:val="24"/>
        </w:rPr>
      </w:pPr>
      <w:r>
        <w:rPr>
          <w:i/>
          <w:iCs/>
          <w:szCs w:val="24"/>
        </w:rPr>
        <w:t>Primary sources</w:t>
      </w:r>
    </w:p>
    <w:p w14:paraId="0FD95FE7" w14:textId="17DC7A1C" w:rsidR="006762F3" w:rsidRDefault="00ED160B" w:rsidP="00A23310">
      <w:pPr>
        <w:rPr>
          <w:iCs/>
          <w:szCs w:val="24"/>
        </w:rPr>
      </w:pPr>
      <w:r>
        <w:rPr>
          <w:iCs/>
          <w:szCs w:val="24"/>
        </w:rPr>
        <w:t>Selections of modern Telegu poems</w:t>
      </w:r>
    </w:p>
    <w:p w14:paraId="00453B2C" w14:textId="77777777" w:rsidR="00ED160B" w:rsidRPr="006762F3" w:rsidRDefault="00ED160B" w:rsidP="00A23310">
      <w:pPr>
        <w:rPr>
          <w:iCs/>
          <w:szCs w:val="24"/>
        </w:rPr>
      </w:pPr>
    </w:p>
    <w:p w14:paraId="58D7F05A" w14:textId="77777777" w:rsidR="007022F6" w:rsidRPr="00C32693" w:rsidRDefault="006D25D8" w:rsidP="007022F6">
      <w:pPr>
        <w:rPr>
          <w:i/>
          <w:iCs/>
          <w:szCs w:val="24"/>
        </w:rPr>
      </w:pPr>
      <w:r>
        <w:rPr>
          <w:szCs w:val="24"/>
        </w:rPr>
        <w:t>3/30; 4/4:</w:t>
      </w:r>
      <w:r w:rsidR="00A23310">
        <w:rPr>
          <w:szCs w:val="24"/>
        </w:rPr>
        <w:t xml:space="preserve"> </w:t>
      </w:r>
      <w:r w:rsidR="007022F6">
        <w:rPr>
          <w:i/>
          <w:iCs/>
          <w:szCs w:val="24"/>
        </w:rPr>
        <w:t>Subaltern voices</w:t>
      </w:r>
    </w:p>
    <w:p w14:paraId="6F2C9E36" w14:textId="77777777" w:rsidR="007022F6" w:rsidRDefault="007022F6" w:rsidP="007022F6">
      <w:pPr>
        <w:rPr>
          <w:bCs/>
          <w:szCs w:val="24"/>
        </w:rPr>
      </w:pPr>
      <w:r w:rsidRPr="008F1FA0">
        <w:rPr>
          <w:bCs/>
          <w:szCs w:val="24"/>
        </w:rPr>
        <w:t xml:space="preserve">Philip </w:t>
      </w:r>
      <w:r>
        <w:rPr>
          <w:bCs/>
          <w:szCs w:val="24"/>
        </w:rPr>
        <w:t xml:space="preserve">Constable, “Early Dalit Literature and Culture in Late Nineteenth- and Early-Twentieth-Century Western India,” </w:t>
      </w:r>
      <w:r>
        <w:rPr>
          <w:bCs/>
          <w:i/>
          <w:szCs w:val="24"/>
        </w:rPr>
        <w:t>Modern Asian Studies</w:t>
      </w:r>
      <w:r>
        <w:rPr>
          <w:bCs/>
          <w:szCs w:val="24"/>
        </w:rPr>
        <w:t xml:space="preserve"> Vol. 31, No. 2 (1997)</w:t>
      </w:r>
    </w:p>
    <w:p w14:paraId="1DBE5E94" w14:textId="77777777" w:rsidR="007022F6" w:rsidRDefault="007022F6" w:rsidP="007022F6">
      <w:pPr>
        <w:rPr>
          <w:bCs/>
          <w:i/>
          <w:szCs w:val="24"/>
        </w:rPr>
      </w:pPr>
      <w:r>
        <w:rPr>
          <w:bCs/>
          <w:szCs w:val="24"/>
        </w:rPr>
        <w:t xml:space="preserve">GN </w:t>
      </w:r>
      <w:proofErr w:type="spellStart"/>
      <w:r>
        <w:rPr>
          <w:bCs/>
          <w:szCs w:val="24"/>
        </w:rPr>
        <w:t>Devy</w:t>
      </w:r>
      <w:proofErr w:type="spellEnd"/>
      <w:r>
        <w:rPr>
          <w:bCs/>
          <w:szCs w:val="24"/>
        </w:rPr>
        <w:t xml:space="preserve">, </w:t>
      </w:r>
      <w:r>
        <w:rPr>
          <w:bCs/>
          <w:i/>
          <w:szCs w:val="24"/>
        </w:rPr>
        <w:t>A Nomad Called Thief: Reflections on Adivasi Silence</w:t>
      </w:r>
    </w:p>
    <w:p w14:paraId="2B3F090B" w14:textId="77777777" w:rsidR="007022F6" w:rsidRPr="00C32693" w:rsidRDefault="007022F6" w:rsidP="007022F6">
      <w:pPr>
        <w:rPr>
          <w:bCs/>
          <w:i/>
          <w:szCs w:val="24"/>
        </w:rPr>
      </w:pPr>
    </w:p>
    <w:p w14:paraId="2C4AA418" w14:textId="77777777" w:rsidR="007022F6" w:rsidRPr="00C32693" w:rsidRDefault="007022F6" w:rsidP="007022F6">
      <w:pPr>
        <w:rPr>
          <w:bCs/>
          <w:i/>
          <w:szCs w:val="24"/>
        </w:rPr>
      </w:pPr>
      <w:r>
        <w:rPr>
          <w:bCs/>
          <w:i/>
          <w:szCs w:val="24"/>
        </w:rPr>
        <w:t>Primary Sources:</w:t>
      </w:r>
    </w:p>
    <w:p w14:paraId="4685EFEE" w14:textId="4E16A2CA" w:rsidR="007022F6" w:rsidRPr="00C32693" w:rsidRDefault="007022F6" w:rsidP="007022F6">
      <w:pPr>
        <w:rPr>
          <w:bCs/>
          <w:i/>
          <w:szCs w:val="24"/>
        </w:rPr>
      </w:pPr>
      <w:r w:rsidRPr="00C32693">
        <w:rPr>
          <w:bCs/>
          <w:szCs w:val="24"/>
        </w:rPr>
        <w:t>Excerpt</w:t>
      </w:r>
      <w:r>
        <w:rPr>
          <w:bCs/>
          <w:szCs w:val="24"/>
        </w:rPr>
        <w:t xml:space="preserve">s from </w:t>
      </w:r>
      <w:proofErr w:type="spellStart"/>
      <w:r>
        <w:rPr>
          <w:bCs/>
          <w:szCs w:val="24"/>
        </w:rPr>
        <w:t>Namdeo</w:t>
      </w:r>
      <w:proofErr w:type="spellEnd"/>
      <w:r>
        <w:rPr>
          <w:bCs/>
          <w:szCs w:val="24"/>
        </w:rPr>
        <w:t xml:space="preserve"> </w:t>
      </w:r>
      <w:proofErr w:type="spellStart"/>
      <w:r>
        <w:rPr>
          <w:bCs/>
          <w:szCs w:val="24"/>
        </w:rPr>
        <w:t>Dhasal</w:t>
      </w:r>
      <w:proofErr w:type="spellEnd"/>
      <w:r w:rsidR="00ED160B">
        <w:rPr>
          <w:bCs/>
          <w:szCs w:val="24"/>
        </w:rPr>
        <w:t>,</w:t>
      </w:r>
      <w:r w:rsidR="00FC6480">
        <w:rPr>
          <w:bCs/>
          <w:szCs w:val="24"/>
        </w:rPr>
        <w:t xml:space="preserve"> Meena Kandasamy,</w:t>
      </w:r>
      <w:r>
        <w:rPr>
          <w:bCs/>
          <w:szCs w:val="24"/>
        </w:rPr>
        <w:t xml:space="preserve"> and GN </w:t>
      </w:r>
      <w:proofErr w:type="spellStart"/>
      <w:r>
        <w:rPr>
          <w:bCs/>
          <w:szCs w:val="24"/>
        </w:rPr>
        <w:t>Devy</w:t>
      </w:r>
      <w:proofErr w:type="spellEnd"/>
      <w:r>
        <w:rPr>
          <w:bCs/>
          <w:szCs w:val="24"/>
        </w:rPr>
        <w:t xml:space="preserve"> </w:t>
      </w:r>
      <w:r w:rsidR="002D0F5F">
        <w:rPr>
          <w:bCs/>
          <w:szCs w:val="24"/>
        </w:rPr>
        <w:t xml:space="preserve">, ed., </w:t>
      </w:r>
      <w:r>
        <w:rPr>
          <w:bCs/>
          <w:i/>
          <w:szCs w:val="24"/>
        </w:rPr>
        <w:t>Painted Worlds: An Anthology of Tribal Literature</w:t>
      </w:r>
    </w:p>
    <w:p w14:paraId="188F9F1E" w14:textId="77777777" w:rsidR="007022F6" w:rsidRDefault="007022F6" w:rsidP="007022F6">
      <w:pPr>
        <w:rPr>
          <w:szCs w:val="24"/>
        </w:rPr>
      </w:pPr>
    </w:p>
    <w:p w14:paraId="62CC44F5" w14:textId="77777777" w:rsidR="007022F6" w:rsidRDefault="00A23310" w:rsidP="007022F6">
      <w:pPr>
        <w:rPr>
          <w:i/>
          <w:szCs w:val="24"/>
        </w:rPr>
      </w:pPr>
      <w:r>
        <w:rPr>
          <w:szCs w:val="24"/>
        </w:rPr>
        <w:t>4/6; 4/11</w:t>
      </w:r>
      <w:r w:rsidR="006D25D8">
        <w:rPr>
          <w:szCs w:val="24"/>
        </w:rPr>
        <w:t>; 4/18</w:t>
      </w:r>
      <w:r>
        <w:rPr>
          <w:i/>
          <w:iCs/>
          <w:szCs w:val="24"/>
        </w:rPr>
        <w:t>:</w:t>
      </w:r>
      <w:r w:rsidR="000C7F81">
        <w:rPr>
          <w:i/>
          <w:iCs/>
          <w:szCs w:val="24"/>
        </w:rPr>
        <w:t xml:space="preserve"> </w:t>
      </w:r>
      <w:r w:rsidR="007022F6">
        <w:rPr>
          <w:i/>
          <w:szCs w:val="24"/>
        </w:rPr>
        <w:t>English-</w:t>
      </w:r>
      <w:proofErr w:type="spellStart"/>
      <w:r w:rsidR="007022F6">
        <w:rPr>
          <w:i/>
          <w:szCs w:val="24"/>
        </w:rPr>
        <w:t>Vinglish</w:t>
      </w:r>
      <w:proofErr w:type="spellEnd"/>
      <w:r w:rsidR="007022F6">
        <w:rPr>
          <w:i/>
          <w:szCs w:val="24"/>
        </w:rPr>
        <w:t xml:space="preserve"> </w:t>
      </w:r>
    </w:p>
    <w:p w14:paraId="05950FD3" w14:textId="77777777" w:rsidR="007022F6" w:rsidRDefault="007022F6" w:rsidP="007022F6">
      <w:pPr>
        <w:rPr>
          <w:szCs w:val="24"/>
        </w:rPr>
      </w:pPr>
    </w:p>
    <w:p w14:paraId="517E4EBC" w14:textId="77777777" w:rsidR="007022F6" w:rsidRDefault="007022F6" w:rsidP="007022F6">
      <w:pPr>
        <w:rPr>
          <w:szCs w:val="24"/>
        </w:rPr>
      </w:pPr>
      <w:proofErr w:type="spellStart"/>
      <w:r>
        <w:rPr>
          <w:szCs w:val="24"/>
        </w:rPr>
        <w:t>Aatish</w:t>
      </w:r>
      <w:proofErr w:type="spellEnd"/>
      <w:r>
        <w:rPr>
          <w:szCs w:val="24"/>
        </w:rPr>
        <w:t xml:space="preserve"> </w:t>
      </w:r>
      <w:proofErr w:type="spellStart"/>
      <w:r>
        <w:rPr>
          <w:szCs w:val="24"/>
        </w:rPr>
        <w:t>Taseer</w:t>
      </w:r>
      <w:proofErr w:type="spellEnd"/>
      <w:r>
        <w:rPr>
          <w:szCs w:val="24"/>
        </w:rPr>
        <w:t xml:space="preserve">, “How English ruined Indian literature,” </w:t>
      </w:r>
      <w:r>
        <w:rPr>
          <w:i/>
          <w:szCs w:val="24"/>
        </w:rPr>
        <w:t>New York Times</w:t>
      </w:r>
      <w:r>
        <w:rPr>
          <w:szCs w:val="24"/>
        </w:rPr>
        <w:t xml:space="preserve">, March 19 2015: </w:t>
      </w:r>
      <w:hyperlink r:id="rId6" w:history="1">
        <w:r w:rsidRPr="00CA3EDE">
          <w:rPr>
            <w:rStyle w:val="Hyperlink"/>
            <w:szCs w:val="24"/>
          </w:rPr>
          <w:t>https://www.nytimes.com/2015/03/22/opinion/sunday/how-english-ruined-indian-</w:t>
        </w:r>
        <w:r w:rsidRPr="00CA3EDE">
          <w:rPr>
            <w:rStyle w:val="Hyperlink"/>
            <w:szCs w:val="24"/>
          </w:rPr>
          <w:lastRenderedPageBreak/>
          <w:t>literature.html?_r=0</w:t>
        </w:r>
      </w:hyperlink>
    </w:p>
    <w:p w14:paraId="759F5311" w14:textId="77777777" w:rsidR="007022F6" w:rsidRDefault="007022F6" w:rsidP="007022F6">
      <w:pPr>
        <w:rPr>
          <w:szCs w:val="24"/>
        </w:rPr>
      </w:pPr>
    </w:p>
    <w:p w14:paraId="280F57B2" w14:textId="77777777" w:rsidR="007022F6" w:rsidRPr="00CA618F" w:rsidRDefault="007022F6" w:rsidP="007022F6">
      <w:pPr>
        <w:rPr>
          <w:i/>
          <w:szCs w:val="24"/>
        </w:rPr>
      </w:pPr>
      <w:r>
        <w:rPr>
          <w:i/>
          <w:szCs w:val="24"/>
        </w:rPr>
        <w:t>Primary Source:</w:t>
      </w:r>
    </w:p>
    <w:p w14:paraId="6FA41A62" w14:textId="77777777" w:rsidR="007022F6" w:rsidRPr="00206C07" w:rsidRDefault="007022F6" w:rsidP="007022F6">
      <w:pPr>
        <w:rPr>
          <w:i/>
          <w:szCs w:val="24"/>
        </w:rPr>
      </w:pPr>
      <w:r>
        <w:rPr>
          <w:szCs w:val="24"/>
        </w:rPr>
        <w:t xml:space="preserve">Salman Rushdie, </w:t>
      </w:r>
      <w:r>
        <w:rPr>
          <w:i/>
          <w:szCs w:val="24"/>
        </w:rPr>
        <w:t>Midnight’s Children</w:t>
      </w:r>
    </w:p>
    <w:p w14:paraId="47DD4403" w14:textId="77777777" w:rsidR="00C32693" w:rsidRDefault="00C32693" w:rsidP="00A23310">
      <w:pPr>
        <w:rPr>
          <w:b/>
          <w:bCs/>
          <w:szCs w:val="24"/>
        </w:rPr>
      </w:pPr>
    </w:p>
    <w:p w14:paraId="03C6851C" w14:textId="77777777" w:rsidR="00A23310" w:rsidRDefault="00A23310" w:rsidP="00A23310">
      <w:pPr>
        <w:rPr>
          <w:b/>
          <w:bCs/>
          <w:szCs w:val="24"/>
        </w:rPr>
      </w:pPr>
      <w:r>
        <w:rPr>
          <w:b/>
          <w:bCs/>
          <w:szCs w:val="24"/>
        </w:rPr>
        <w:t>PRIMARY SOURCE DUE 4/6/2016</w:t>
      </w:r>
    </w:p>
    <w:p w14:paraId="71ED3B71" w14:textId="77777777" w:rsidR="00A23310" w:rsidRDefault="00A23310" w:rsidP="00A23310">
      <w:pPr>
        <w:rPr>
          <w:i/>
          <w:iCs/>
          <w:szCs w:val="24"/>
        </w:rPr>
      </w:pPr>
    </w:p>
    <w:p w14:paraId="15489EB9" w14:textId="77777777" w:rsidR="007022F6" w:rsidRPr="00C32693" w:rsidRDefault="00A23310" w:rsidP="007022F6">
      <w:pPr>
        <w:rPr>
          <w:bCs/>
          <w:i/>
          <w:szCs w:val="24"/>
        </w:rPr>
      </w:pPr>
      <w:r>
        <w:rPr>
          <w:szCs w:val="24"/>
        </w:rPr>
        <w:t>4/20</w:t>
      </w:r>
      <w:r w:rsidR="006D25D8">
        <w:rPr>
          <w:szCs w:val="24"/>
        </w:rPr>
        <w:t>; 4/25; 4/27</w:t>
      </w:r>
      <w:r>
        <w:rPr>
          <w:szCs w:val="24"/>
        </w:rPr>
        <w:t xml:space="preserve">: </w:t>
      </w:r>
      <w:r w:rsidR="007022F6">
        <w:rPr>
          <w:i/>
          <w:iCs/>
          <w:szCs w:val="24"/>
        </w:rPr>
        <w:t>The death of language</w:t>
      </w:r>
    </w:p>
    <w:p w14:paraId="1DFDD455" w14:textId="77777777" w:rsidR="007022F6" w:rsidRDefault="007022F6" w:rsidP="007022F6">
      <w:pPr>
        <w:rPr>
          <w:szCs w:val="24"/>
        </w:rPr>
      </w:pPr>
      <w:r>
        <w:rPr>
          <w:szCs w:val="24"/>
        </w:rPr>
        <w:t>Sheldon Pollock, “The death of Sanskrit?”</w:t>
      </w:r>
    </w:p>
    <w:p w14:paraId="2DC79267" w14:textId="77777777" w:rsidR="007022F6" w:rsidRDefault="007022F6" w:rsidP="007022F6">
      <w:pPr>
        <w:rPr>
          <w:i/>
          <w:szCs w:val="24"/>
        </w:rPr>
      </w:pPr>
      <w:r>
        <w:rPr>
          <w:szCs w:val="24"/>
        </w:rPr>
        <w:t xml:space="preserve">G N </w:t>
      </w:r>
      <w:proofErr w:type="spellStart"/>
      <w:r>
        <w:rPr>
          <w:szCs w:val="24"/>
        </w:rPr>
        <w:t>Devy</w:t>
      </w:r>
      <w:proofErr w:type="spellEnd"/>
      <w:r>
        <w:rPr>
          <w:szCs w:val="24"/>
        </w:rPr>
        <w:t xml:space="preserve">, </w:t>
      </w:r>
      <w:r>
        <w:rPr>
          <w:i/>
          <w:szCs w:val="24"/>
        </w:rPr>
        <w:t xml:space="preserve">The Being of </w:t>
      </w:r>
      <w:proofErr w:type="spellStart"/>
      <w:r>
        <w:rPr>
          <w:i/>
          <w:szCs w:val="24"/>
        </w:rPr>
        <w:t>Bhasha</w:t>
      </w:r>
      <w:proofErr w:type="spellEnd"/>
    </w:p>
    <w:p w14:paraId="64BB354E" w14:textId="77777777" w:rsidR="00C32693" w:rsidRPr="00C32693" w:rsidRDefault="00C32693" w:rsidP="00A23310">
      <w:pPr>
        <w:rPr>
          <w:i/>
          <w:szCs w:val="24"/>
        </w:rPr>
      </w:pPr>
    </w:p>
    <w:p w14:paraId="7FE17C5C" w14:textId="77777777" w:rsidR="000C7F81" w:rsidRDefault="000C7F81" w:rsidP="00A23310">
      <w:pPr>
        <w:rPr>
          <w:szCs w:val="24"/>
        </w:rPr>
      </w:pPr>
    </w:p>
    <w:p w14:paraId="086CC991" w14:textId="77777777" w:rsidR="00A23310" w:rsidRDefault="00A23310" w:rsidP="00A23310">
      <w:pPr>
        <w:rPr>
          <w:b/>
          <w:bCs/>
          <w:szCs w:val="24"/>
        </w:rPr>
      </w:pPr>
      <w:r>
        <w:rPr>
          <w:b/>
          <w:bCs/>
          <w:szCs w:val="24"/>
        </w:rPr>
        <w:t>ANNOTATED BIBLIOGRAPHY DUE 4/20/2017</w:t>
      </w:r>
    </w:p>
    <w:p w14:paraId="751C8ED7" w14:textId="77777777" w:rsidR="00A23310" w:rsidRDefault="00A23310" w:rsidP="00A23310">
      <w:pPr>
        <w:rPr>
          <w:szCs w:val="24"/>
        </w:rPr>
      </w:pPr>
    </w:p>
    <w:p w14:paraId="63A0CADC" w14:textId="77777777" w:rsidR="00A23310" w:rsidRPr="00FA6C06" w:rsidRDefault="00A23310" w:rsidP="00A23310">
      <w:pPr>
        <w:rPr>
          <w:i/>
          <w:iCs/>
          <w:szCs w:val="24"/>
        </w:rPr>
      </w:pPr>
      <w:r>
        <w:rPr>
          <w:b/>
          <w:bCs/>
          <w:szCs w:val="24"/>
        </w:rPr>
        <w:t>FINAL PAPER DUE 5/5/2017</w:t>
      </w:r>
    </w:p>
    <w:p w14:paraId="6EB3B4CC" w14:textId="77777777" w:rsidR="00065E9B" w:rsidRDefault="00065E9B">
      <w:bookmarkStart w:id="0" w:name="_GoBack"/>
      <w:bookmarkEnd w:id="0"/>
    </w:p>
    <w:sectPr w:rsidR="00065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310"/>
    <w:rsid w:val="00030B9B"/>
    <w:rsid w:val="00065E9B"/>
    <w:rsid w:val="000B6D6D"/>
    <w:rsid w:val="000C7F81"/>
    <w:rsid w:val="000D507E"/>
    <w:rsid w:val="00105888"/>
    <w:rsid w:val="001109D8"/>
    <w:rsid w:val="001805C1"/>
    <w:rsid w:val="001B6685"/>
    <w:rsid w:val="001D2424"/>
    <w:rsid w:val="002033AE"/>
    <w:rsid w:val="00206C07"/>
    <w:rsid w:val="0022053C"/>
    <w:rsid w:val="00237201"/>
    <w:rsid w:val="00296378"/>
    <w:rsid w:val="002D0F5F"/>
    <w:rsid w:val="00315415"/>
    <w:rsid w:val="00351C76"/>
    <w:rsid w:val="00383809"/>
    <w:rsid w:val="00423954"/>
    <w:rsid w:val="004526DE"/>
    <w:rsid w:val="00554FBD"/>
    <w:rsid w:val="00582F98"/>
    <w:rsid w:val="006762F3"/>
    <w:rsid w:val="006D25D8"/>
    <w:rsid w:val="006F17BB"/>
    <w:rsid w:val="006F7746"/>
    <w:rsid w:val="007022F6"/>
    <w:rsid w:val="007B5B41"/>
    <w:rsid w:val="007C6849"/>
    <w:rsid w:val="00834074"/>
    <w:rsid w:val="00876E8B"/>
    <w:rsid w:val="008814F5"/>
    <w:rsid w:val="008C2E92"/>
    <w:rsid w:val="008F1FA0"/>
    <w:rsid w:val="00901B61"/>
    <w:rsid w:val="00945843"/>
    <w:rsid w:val="00A23310"/>
    <w:rsid w:val="00A3502E"/>
    <w:rsid w:val="00A93AC2"/>
    <w:rsid w:val="00A953DB"/>
    <w:rsid w:val="00B41D59"/>
    <w:rsid w:val="00B52E20"/>
    <w:rsid w:val="00B56A5C"/>
    <w:rsid w:val="00BD19E1"/>
    <w:rsid w:val="00C32693"/>
    <w:rsid w:val="00CA618F"/>
    <w:rsid w:val="00D21FC7"/>
    <w:rsid w:val="00D71D47"/>
    <w:rsid w:val="00DB5882"/>
    <w:rsid w:val="00DF29C0"/>
    <w:rsid w:val="00EB1A7A"/>
    <w:rsid w:val="00ED160B"/>
    <w:rsid w:val="00F330B1"/>
    <w:rsid w:val="00FC64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64237F"/>
  <w14:defaultImageDpi w14:val="300"/>
  <w15:docId w15:val="{E75F3B06-5421-AE48-A559-C895506D5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3310"/>
    <w:pPr>
      <w:widowControl w:val="0"/>
    </w:pPr>
    <w:rPr>
      <w:rFonts w:ascii="Times New Roman" w:eastAsia="SimSun" w:hAnsi="Times New Roman" w:cs="Times New Roman"/>
      <w:kern w:val="2"/>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23310"/>
    <w:pPr>
      <w:widowControl/>
      <w:spacing w:before="100" w:beforeAutospacing="1" w:after="100" w:afterAutospacing="1"/>
    </w:pPr>
    <w:rPr>
      <w:rFonts w:eastAsia="Times New Roman"/>
      <w:kern w:val="0"/>
      <w:szCs w:val="24"/>
      <w:lang w:eastAsia="en-US"/>
    </w:rPr>
  </w:style>
  <w:style w:type="character" w:styleId="Emphasis">
    <w:name w:val="Emphasis"/>
    <w:basedOn w:val="DefaultParagraphFont"/>
    <w:uiPriority w:val="20"/>
    <w:qFormat/>
    <w:rsid w:val="00A23310"/>
    <w:rPr>
      <w:i/>
      <w:iCs/>
    </w:rPr>
  </w:style>
  <w:style w:type="character" w:styleId="FollowedHyperlink">
    <w:name w:val="FollowedHyperlink"/>
    <w:basedOn w:val="DefaultParagraphFont"/>
    <w:unhideWhenUsed/>
    <w:rsid w:val="00A23310"/>
    <w:rPr>
      <w:color w:val="800080"/>
      <w:u w:val="single"/>
    </w:rPr>
  </w:style>
  <w:style w:type="character" w:styleId="Hyperlink">
    <w:name w:val="Hyperlink"/>
    <w:unhideWhenUsed/>
    <w:rsid w:val="00A23310"/>
    <w:rPr>
      <w:color w:val="0000FF"/>
      <w:u w:val="single"/>
    </w:rPr>
  </w:style>
  <w:style w:type="character" w:customStyle="1" w:styleId="il">
    <w:name w:val="il"/>
    <w:basedOn w:val="DefaultParagraphFont"/>
    <w:rsid w:val="00A23310"/>
  </w:style>
  <w:style w:type="character" w:styleId="HTMLCite">
    <w:name w:val="HTML Cite"/>
    <w:basedOn w:val="DefaultParagraphFont"/>
    <w:uiPriority w:val="99"/>
    <w:semiHidden/>
    <w:unhideWhenUsed/>
    <w:rsid w:val="00A93AC2"/>
    <w:rPr>
      <w:i/>
      <w:iCs/>
    </w:rPr>
  </w:style>
  <w:style w:type="character" w:customStyle="1" w:styleId="apple-converted-space">
    <w:name w:val="apple-converted-space"/>
    <w:basedOn w:val="DefaultParagraphFont"/>
    <w:rsid w:val="00A93A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4986557">
      <w:bodyDiv w:val="1"/>
      <w:marLeft w:val="0"/>
      <w:marRight w:val="0"/>
      <w:marTop w:val="0"/>
      <w:marBottom w:val="0"/>
      <w:divBdr>
        <w:top w:val="none" w:sz="0" w:space="0" w:color="auto"/>
        <w:left w:val="none" w:sz="0" w:space="0" w:color="auto"/>
        <w:bottom w:val="none" w:sz="0" w:space="0" w:color="auto"/>
        <w:right w:val="none" w:sz="0" w:space="0" w:color="auto"/>
      </w:divBdr>
    </w:div>
    <w:div w:id="1407192020">
      <w:bodyDiv w:val="1"/>
      <w:marLeft w:val="0"/>
      <w:marRight w:val="0"/>
      <w:marTop w:val="0"/>
      <w:marBottom w:val="0"/>
      <w:divBdr>
        <w:top w:val="none" w:sz="0" w:space="0" w:color="auto"/>
        <w:left w:val="none" w:sz="0" w:space="0" w:color="auto"/>
        <w:bottom w:val="none" w:sz="0" w:space="0" w:color="auto"/>
        <w:right w:val="none" w:sz="0" w:space="0" w:color="auto"/>
      </w:divBdr>
    </w:div>
    <w:div w:id="17586757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ytimes.com/2015/03/22/opinion/sunday/how-english-ruined-indian-literature.html?_r=0" TargetMode="External"/><Relationship Id="rId5" Type="http://schemas.openxmlformats.org/officeDocument/2006/relationships/hyperlink" Target="http://www.eliohs.unifi.it/testi/700/jones/Jones_Discourse_3.html" TargetMode="External"/><Relationship Id="rId4" Type="http://schemas.openxmlformats.org/officeDocument/2006/relationships/hyperlink" Target="http://www.chicagomanualofstyle.org/tools_citation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1876</Words>
  <Characters>10698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Georgetown University</Company>
  <LinksUpToDate>false</LinksUpToDate>
  <CharactersWithSpaces>12549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Chakravarti</dc:creator>
  <cp:keywords/>
  <dc:description/>
  <cp:lastModifiedBy>Microsoft Office User</cp:lastModifiedBy>
  <cp:revision>2</cp:revision>
  <dcterms:created xsi:type="dcterms:W3CDTF">2018-10-17T23:29:00Z</dcterms:created>
  <dcterms:modified xsi:type="dcterms:W3CDTF">2018-10-17T23:29:00Z</dcterms:modified>
</cp:coreProperties>
</file>