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In this project, a console application has been developed which shows the bot solving the minesweeper game.</w:t>
      </w:r>
    </w:p>
    <w:p w:rsidR="00000000" w:rsidDel="00000000" w:rsidP="00000000" w:rsidRDefault="00000000" w:rsidRPr="00000000" w14:paraId="00000002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This given below is the </w:t>
      </w:r>
      <w:r w:rsidDel="00000000" w:rsidR="00000000" w:rsidRPr="00000000">
        <w:rPr>
          <w:color w:val="202122"/>
          <w:highlight w:val="white"/>
          <w:u w:val="single"/>
          <w:rtl w:val="0"/>
        </w:rPr>
        <w:t xml:space="preserve">main screen</w:t>
      </w:r>
      <w:r w:rsidDel="00000000" w:rsidR="00000000" w:rsidRPr="00000000">
        <w:rPr>
          <w:color w:val="202122"/>
          <w:highlight w:val="white"/>
          <w:rtl w:val="0"/>
        </w:rPr>
        <w:t xml:space="preserve">. There are two options as we can see. When entered on “Watch </w:t>
      </w:r>
      <w:r w:rsidDel="00000000" w:rsidR="00000000" w:rsidRPr="00000000">
        <w:rPr>
          <w:color w:val="202122"/>
          <w:highlight w:val="white"/>
          <w:rtl w:val="0"/>
        </w:rPr>
        <w:t xml:space="preserve">Bot</w:t>
      </w:r>
      <w:r w:rsidDel="00000000" w:rsidR="00000000" w:rsidRPr="00000000">
        <w:rPr>
          <w:color w:val="202122"/>
          <w:highlight w:val="white"/>
          <w:rtl w:val="0"/>
        </w:rPr>
        <w:t xml:space="preserve"> playing”, we can see the bot playing the game and step by step opening all the squares and putting flags wherever necessary. According to the number on a square, the bot calculates and flags a square if it is sure of a mine in that particular square. We will see the </w:t>
      </w:r>
      <w:r w:rsidDel="00000000" w:rsidR="00000000" w:rsidRPr="00000000">
        <w:rPr>
          <w:color w:val="202122"/>
          <w:highlight w:val="white"/>
          <w:rtl w:val="0"/>
        </w:rPr>
        <w:t xml:space="preserve">bot</w:t>
      </w:r>
      <w:r w:rsidDel="00000000" w:rsidR="00000000" w:rsidRPr="00000000">
        <w:rPr>
          <w:color w:val="202122"/>
          <w:highlight w:val="white"/>
          <w:rtl w:val="0"/>
        </w:rPr>
        <w:t xml:space="preserve"> playing on a 15X20 size rectangular board with all the squares uncovered in the beginning.</w:t>
      </w:r>
    </w:p>
    <w:p w:rsidR="00000000" w:rsidDel="00000000" w:rsidP="00000000" w:rsidRDefault="00000000" w:rsidRPr="00000000" w14:paraId="00000003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Pressing ‘Enter’ key on “Exit” will close the application.</w:t>
      </w:r>
    </w:p>
    <w:p w:rsidR="00000000" w:rsidDel="00000000" w:rsidP="00000000" w:rsidRDefault="00000000" w:rsidRPr="00000000" w14:paraId="00000004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Up/down navigation keys can be used to choose either you want to watch the bot play or exit the application.</w:t>
      </w:r>
    </w:p>
    <w:p w:rsidR="00000000" w:rsidDel="00000000" w:rsidP="00000000" w:rsidRDefault="00000000" w:rsidRPr="00000000" w14:paraId="00000005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067300" cy="3552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Below is the image of a step in between of the game where we can see the bot playing and putting a certain amount of flags.</w:t>
      </w:r>
      <w:r w:rsidDel="00000000" w:rsidR="00000000" w:rsidRPr="00000000">
        <w:rPr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943600" cy="392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In the above picture, ‘F’ means that the bot has flagged that square as there is a mine below that square. For the square not opened yet, it is displayed by a ‘?’.</w:t>
      </w:r>
    </w:p>
    <w:p w:rsidR="00000000" w:rsidDel="00000000" w:rsidP="00000000" w:rsidRDefault="00000000" w:rsidRPr="00000000" w14:paraId="00000008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Provided below is the picture of the </w:t>
      </w:r>
      <w:r w:rsidDel="00000000" w:rsidR="00000000" w:rsidRPr="00000000">
        <w:rPr>
          <w:color w:val="202122"/>
          <w:highlight w:val="white"/>
          <w:u w:val="single"/>
          <w:rtl w:val="0"/>
        </w:rPr>
        <w:t xml:space="preserve">goal test</w:t>
      </w:r>
      <w:r w:rsidDel="00000000" w:rsidR="00000000" w:rsidRPr="00000000">
        <w:rPr>
          <w:color w:val="202122"/>
          <w:highlight w:val="white"/>
          <w:rtl w:val="0"/>
        </w:rPr>
        <w:t xml:space="preserve"> where bot has successfully uncovered all the squares without mine and flagged ‘F’ to those where mine is present.</w:t>
      </w:r>
      <w:r w:rsidDel="00000000" w:rsidR="00000000" w:rsidRPr="00000000">
        <w:rPr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943600" cy="384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At this stage, we can go back to the main screen by pressing ‘Esc’ or watch the bot play another map by pressing the ‘Enter’ key.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202122"/>
          <w:highlight w:val="white"/>
          <w:rtl w:val="0"/>
        </w:rPr>
        <w:t xml:space="preserve">This program takes about 20-25 seconds to solve a board of size 15X20.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