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ReliefPool: Oracle &lt;-&gt; ML Classifier Interface Contract</w:t>
      </w:r>
    </w:p>
    <w:p>
      <w:pPr>
        <w:jc w:val="center"/>
      </w:pPr>
      <w:r>
        <w:rPr>
          <w:i/>
        </w:rPr>
        <w:t>Backend Dev 2 &lt;-&gt; Backend Dev 3 • StormHacks 2026</w:t>
      </w:r>
    </w:p>
    <w:p>
      <w:pPr>
        <w:pStyle w:val="Heading1"/>
      </w:pPr>
      <w:r>
        <w:t>1. Purpose</w:t>
      </w:r>
    </w:p>
    <w:p>
      <w:r>
        <w:t>This document defines the integration boundary between Backend Dev 2 (Oracle/API) and Backend Dev 3 (ML classifier). It specifies exactly what earthquake information the Oracle must send to the classifier and what the classifier returns. Both developers should treat the field names and types below as the shared contract.</w:t>
      </w:r>
    </w:p>
    <w:p>
      <w:pPr>
        <w:pStyle w:val="Heading1"/>
      </w:pPr>
      <w:r>
        <w:t>2. Responsibility Split</w:t>
      </w:r>
    </w:p>
    <w:tbl>
      <w:tblPr>
        <w:tblStyle w:val="TableGrid"/>
        <w:tblW w:type="auto" w:w="0"/>
        <w:jc w:val="center"/>
        <w:tblLook w:firstColumn="1" w:firstRow="1" w:lastColumn="0" w:lastRow="0" w:noHBand="0" w:noVBand="1" w:val="04A0"/>
      </w:tblPr>
      <w:tblGrid>
        <w:gridCol w:w="3360"/>
        <w:gridCol w:w="3360"/>
        <w:gridCol w:w="3360"/>
      </w:tblGrid>
      <w:tr>
        <w:trPr>
          <w:cantSplit/>
        </w:trPr>
        <w:tc>
          <w:tcPr>
            <w:tcW w:type="dxa" w:w="3360"/>
          </w:tcPr>
          <w:p>
            <w:r>
              <w:t>Component</w:t>
            </w:r>
          </w:p>
        </w:tc>
        <w:tc>
          <w:tcPr>
            <w:tcW w:type="dxa" w:w="3360"/>
          </w:tcPr>
          <w:p>
            <w:r>
              <w:t>Owner</w:t>
            </w:r>
          </w:p>
        </w:tc>
        <w:tc>
          <w:tcPr>
            <w:tcW w:type="dxa" w:w="3360"/>
          </w:tcPr>
          <w:p>
            <w:r>
              <w:t>Responsibilities</w:t>
            </w:r>
          </w:p>
        </w:tc>
      </w:tr>
      <w:tr>
        <w:trPr>
          <w:cantSplit/>
        </w:trPr>
        <w:tc>
          <w:tcPr>
            <w:tcW w:type="dxa" w:w="3360"/>
          </w:tcPr>
          <w:p>
            <w:r>
              <w:t>Oracle/API</w:t>
            </w:r>
          </w:p>
        </w:tc>
        <w:tc>
          <w:tcPr>
            <w:tcW w:type="dxa" w:w="3360"/>
          </w:tcPr>
          <w:p>
            <w:r>
              <w:t>Backend Dev 2</w:t>
            </w:r>
          </w:p>
        </w:tc>
        <w:tc>
          <w:tcPr>
            <w:tcW w:type="dxa" w:w="3360"/>
          </w:tcPr>
          <w:p>
            <w:r>
              <w:t>Fetch/receive USGS events; choose live or replay event; extract required fields; call ML /score; compare returned riskScore with the ReliefPool threshold; submit eligible payout to Solana; retain eventId.</w:t>
            </w:r>
          </w:p>
        </w:tc>
      </w:tr>
      <w:tr>
        <w:trPr>
          <w:cantSplit/>
        </w:trPr>
        <w:tc>
          <w:tcPr>
            <w:tcW w:type="dxa" w:w="3360"/>
          </w:tcPr>
          <w:p>
            <w:r>
              <w:t>ML Classifier</w:t>
            </w:r>
          </w:p>
        </w:tc>
        <w:tc>
          <w:tcPr>
            <w:tcW w:type="dxa" w:w="3360"/>
          </w:tcPr>
          <w:p>
            <w:r>
              <w:t>Backend Dev 3</w:t>
            </w:r>
          </w:p>
        </w:tc>
        <w:tc>
          <w:tcPr>
            <w:tcW w:type="dxa" w:w="3360"/>
          </w:tcPr>
          <w:p>
            <w:r>
              <w:t>Receive the earthquake fields; validate model inputs; calculate a tsunami risk score; return riskScore, probability (model mode), and modelVersion. Does not fetch USGS data and does not call Solana.</w:t>
            </w:r>
          </w:p>
        </w:tc>
      </w:tr>
    </w:tbl>
    <w:p>
      <w:pPr>
        <w:pStyle w:val="Heading1"/>
      </w:pPr>
      <w:r>
        <w:t>3. Data Backend Dev 2 Must Send</w:t>
      </w:r>
    </w:p>
    <w:p>
      <w:r>
        <w:t>For the MVP, the classifier should depend only on earthquake fields expected to be available rapidly. Do not require CDI, MMI, SIG, DYFI/felt reports, or other post-event/enrichment fields.</w:t>
      </w:r>
    </w:p>
    <w:tbl>
      <w:tblPr>
        <w:tblStyle w:val="TableGrid"/>
        <w:tblW w:type="auto" w:w="0"/>
        <w:jc w:val="center"/>
        <w:tblLook w:firstColumn="1" w:firstRow="1" w:lastColumn="0" w:lastRow="0" w:noHBand="0" w:noVBand="1" w:val="04A0"/>
      </w:tblPr>
      <w:tblGrid>
        <w:gridCol w:w="2016"/>
        <w:gridCol w:w="2016"/>
        <w:gridCol w:w="2016"/>
        <w:gridCol w:w="2016"/>
        <w:gridCol w:w="2016"/>
      </w:tblGrid>
      <w:tr>
        <w:trPr>
          <w:cantSplit/>
        </w:trPr>
        <w:tc>
          <w:tcPr>
            <w:tcW w:type="dxa" w:w="2016"/>
          </w:tcPr>
          <w:p>
            <w:r>
              <w:t>Field</w:t>
            </w:r>
          </w:p>
        </w:tc>
        <w:tc>
          <w:tcPr>
            <w:tcW w:type="dxa" w:w="2016"/>
          </w:tcPr>
          <w:p>
            <w:r>
              <w:t>Type</w:t>
            </w:r>
          </w:p>
        </w:tc>
        <w:tc>
          <w:tcPr>
            <w:tcW w:type="dxa" w:w="2016"/>
          </w:tcPr>
          <w:p>
            <w:r>
              <w:t>Nullable?</w:t>
            </w:r>
          </w:p>
        </w:tc>
        <w:tc>
          <w:tcPr>
            <w:tcW w:type="dxa" w:w="2016"/>
          </w:tcPr>
          <w:p>
            <w:r>
              <w:t>Source/Meaning</w:t>
            </w:r>
          </w:p>
        </w:tc>
        <w:tc>
          <w:tcPr>
            <w:tcW w:type="dxa" w:w="2016"/>
          </w:tcPr>
          <w:p>
            <w:r>
              <w:t>Notes</w:t>
            </w:r>
          </w:p>
        </w:tc>
      </w:tr>
      <w:tr>
        <w:trPr>
          <w:cantSplit/>
        </w:trPr>
        <w:tc>
          <w:tcPr>
            <w:tcW w:type="dxa" w:w="2016"/>
          </w:tcPr>
          <w:p>
            <w:r>
              <w:t>eventId</w:t>
            </w:r>
          </w:p>
        </w:tc>
        <w:tc>
          <w:tcPr>
            <w:tcW w:type="dxa" w:w="2016"/>
          </w:tcPr>
          <w:p>
            <w:r>
              <w:t>string</w:t>
            </w:r>
          </w:p>
        </w:tc>
        <w:tc>
          <w:tcPr>
            <w:tcW w:type="dxa" w:w="2016"/>
          </w:tcPr>
          <w:p>
            <w:r>
              <w:t>No</w:t>
            </w:r>
          </w:p>
        </w:tc>
        <w:tc>
          <w:tcPr>
            <w:tcW w:type="dxa" w:w="2016"/>
          </w:tcPr>
          <w:p>
            <w:r>
              <w:t>USGS event ID / replay event ID</w:t>
            </w:r>
          </w:p>
        </w:tc>
        <w:tc>
          <w:tcPr>
            <w:tcW w:type="dxa" w:w="2016"/>
          </w:tcPr>
          <w:p>
            <w:r>
              <w:t>Used for correlation; not a predictive feature.</w:t>
            </w:r>
          </w:p>
        </w:tc>
      </w:tr>
      <w:tr>
        <w:trPr>
          <w:cantSplit/>
        </w:trPr>
        <w:tc>
          <w:tcPr>
            <w:tcW w:type="dxa" w:w="2016"/>
          </w:tcPr>
          <w:p>
            <w:r>
              <w:t>magnitude</w:t>
            </w:r>
          </w:p>
        </w:tc>
        <w:tc>
          <w:tcPr>
            <w:tcW w:type="dxa" w:w="2016"/>
          </w:tcPr>
          <w:p>
            <w:r>
              <w:t>number</w:t>
            </w:r>
          </w:p>
        </w:tc>
        <w:tc>
          <w:tcPr>
            <w:tcW w:type="dxa" w:w="2016"/>
          </w:tcPr>
          <w:p>
            <w:r>
              <w:t>No</w:t>
            </w:r>
          </w:p>
        </w:tc>
        <w:tc>
          <w:tcPr>
            <w:tcW w:type="dxa" w:w="2016"/>
          </w:tcPr>
          <w:p>
            <w:r>
              <w:t>Earthquake magnitude</w:t>
            </w:r>
          </w:p>
        </w:tc>
        <w:tc>
          <w:tcPr>
            <w:tcW w:type="dxa" w:w="2016"/>
          </w:tcPr>
          <w:p>
            <w:r>
              <w:t>Predictive feature.</w:t>
            </w:r>
          </w:p>
        </w:tc>
      </w:tr>
      <w:tr>
        <w:trPr>
          <w:cantSplit/>
        </w:trPr>
        <w:tc>
          <w:tcPr>
            <w:tcW w:type="dxa" w:w="2016"/>
          </w:tcPr>
          <w:p>
            <w:r>
              <w:t>depthKm</w:t>
            </w:r>
          </w:p>
        </w:tc>
        <w:tc>
          <w:tcPr>
            <w:tcW w:type="dxa" w:w="2016"/>
          </w:tcPr>
          <w:p>
            <w:r>
              <w:t>number</w:t>
            </w:r>
          </w:p>
        </w:tc>
        <w:tc>
          <w:tcPr>
            <w:tcW w:type="dxa" w:w="2016"/>
          </w:tcPr>
          <w:p>
            <w:r>
              <w:t>No</w:t>
            </w:r>
          </w:p>
        </w:tc>
        <w:tc>
          <w:tcPr>
            <w:tcW w:type="dxa" w:w="2016"/>
          </w:tcPr>
          <w:p>
            <w:r>
              <w:t>Earthquake focal depth in km</w:t>
            </w:r>
          </w:p>
        </w:tc>
        <w:tc>
          <w:tcPr>
            <w:tcW w:type="dxa" w:w="2016"/>
          </w:tcPr>
          <w:p>
            <w:r>
              <w:t>Predictive feature.</w:t>
            </w:r>
          </w:p>
        </w:tc>
      </w:tr>
      <w:tr>
        <w:trPr>
          <w:cantSplit/>
        </w:trPr>
        <w:tc>
          <w:tcPr>
            <w:tcW w:type="dxa" w:w="2016"/>
          </w:tcPr>
          <w:p>
            <w:r>
              <w:t>latitude</w:t>
            </w:r>
          </w:p>
        </w:tc>
        <w:tc>
          <w:tcPr>
            <w:tcW w:type="dxa" w:w="2016"/>
          </w:tcPr>
          <w:p>
            <w:r>
              <w:t>number</w:t>
            </w:r>
          </w:p>
        </w:tc>
        <w:tc>
          <w:tcPr>
            <w:tcW w:type="dxa" w:w="2016"/>
          </w:tcPr>
          <w:p>
            <w:r>
              <w:t>No</w:t>
            </w:r>
          </w:p>
        </w:tc>
        <w:tc>
          <w:tcPr>
            <w:tcW w:type="dxa" w:w="2016"/>
          </w:tcPr>
          <w:p>
            <w:r>
              <w:t>Epicenter latitude</w:t>
            </w:r>
          </w:p>
        </w:tc>
        <w:tc>
          <w:tcPr>
            <w:tcW w:type="dxa" w:w="2016"/>
          </w:tcPr>
          <w:p>
            <w:r>
              <w:t>Must be between -90 and 90.</w:t>
            </w:r>
          </w:p>
        </w:tc>
      </w:tr>
      <w:tr>
        <w:trPr>
          <w:cantSplit/>
        </w:trPr>
        <w:tc>
          <w:tcPr>
            <w:tcW w:type="dxa" w:w="2016"/>
          </w:tcPr>
          <w:p>
            <w:r>
              <w:t>longitude</w:t>
            </w:r>
          </w:p>
        </w:tc>
        <w:tc>
          <w:tcPr>
            <w:tcW w:type="dxa" w:w="2016"/>
          </w:tcPr>
          <w:p>
            <w:r>
              <w:t>number</w:t>
            </w:r>
          </w:p>
        </w:tc>
        <w:tc>
          <w:tcPr>
            <w:tcW w:type="dxa" w:w="2016"/>
          </w:tcPr>
          <w:p>
            <w:r>
              <w:t>No</w:t>
            </w:r>
          </w:p>
        </w:tc>
        <w:tc>
          <w:tcPr>
            <w:tcW w:type="dxa" w:w="2016"/>
          </w:tcPr>
          <w:p>
            <w:r>
              <w:t>Epicenter longitude</w:t>
            </w:r>
          </w:p>
        </w:tc>
        <w:tc>
          <w:tcPr>
            <w:tcW w:type="dxa" w:w="2016"/>
          </w:tcPr>
          <w:p>
            <w:r>
              <w:t>Must be between -180 and 180.</w:t>
            </w:r>
          </w:p>
        </w:tc>
      </w:tr>
    </w:tbl>
    <w:p>
      <w:pPr>
        <w:pStyle w:val="Heading1"/>
      </w:pPr>
      <w:r>
        <w:t>4. POST /score Request</w:t>
      </w:r>
    </w:p>
    <w:p>
      <w:r>
        <w:t>Backend Dev 2 sends one earthquake event to the classifier:</w:t>
      </w:r>
    </w:p>
    <w:p>
      <w:r>
        <w:rPr>
          <w:rFonts w:ascii="Consolas" w:hAnsi="Consolas"/>
          <w:sz w:val="18"/>
        </w:rPr>
        <w:t>{</w:t>
        <w:br/>
        <w:t xml:space="preserve">  "eventId": "us7000abcd",</w:t>
        <w:br/>
        <w:t xml:space="preserve">  "magnitude": 7.3,</w:t>
        <w:br/>
        <w:t xml:space="preserve">  "depthKm": 41.0,</w:t>
        <w:br/>
        <w:t xml:space="preserve">  "latitude": 37.70,</w:t>
        <w:br/>
        <w:t xml:space="preserve">  "longitude": 141.60</w:t>
        <w:br/>
        <w:t>}</w:t>
      </w:r>
    </w:p>
    <w:p>
      <w:r>
        <w:t>All five fields are required for the MVP. If a required predictive field is unavailable, the Oracle should not fabricate a value. The integration should surface the event as unscorable or retry after data becomes available.</w:t>
      </w:r>
    </w:p>
    <w:p>
      <w:pPr>
        <w:pStyle w:val="Heading1"/>
      </w:pPr>
      <w:r>
        <w:t>5. What Backend Dev 3 Returns</w:t>
      </w:r>
    </w:p>
    <w:p>
      <w:r>
        <w:t>When the trained model is active, the response should be:</w:t>
      </w:r>
    </w:p>
    <w:p>
      <w:r>
        <w:rPr>
          <w:rFonts w:ascii="Consolas" w:hAnsi="Consolas"/>
          <w:sz w:val="18"/>
        </w:rPr>
        <w:t>{</w:t>
        <w:br/>
        <w:t xml:space="preserve">  "eventId": "us7000abcd",</w:t>
        <w:br/>
        <w:t xml:space="preserve">  "riskScore": 81,</w:t>
        <w:br/>
        <w:t xml:space="preserve">  "probability": 0.81,</w:t>
        <w:br/>
        <w:t xml:space="preserve">  "modelVersion": "model-v1"</w:t>
        <w:br/>
        <w:t>}</w:t>
      </w:r>
    </w:p>
    <w:tbl>
      <w:tblPr>
        <w:tblStyle w:val="TableGrid"/>
        <w:tblW w:type="auto" w:w="0"/>
        <w:jc w:val="center"/>
        <w:tblLook w:firstColumn="1" w:firstRow="1" w:lastColumn="0" w:lastRow="0" w:noHBand="0" w:noVBand="1" w:val="04A0"/>
      </w:tblPr>
      <w:tblGrid>
        <w:gridCol w:w="2520"/>
        <w:gridCol w:w="2520"/>
        <w:gridCol w:w="2520"/>
        <w:gridCol w:w="2520"/>
      </w:tblGrid>
      <w:tr>
        <w:trPr>
          <w:cantSplit/>
        </w:trPr>
        <w:tc>
          <w:tcPr>
            <w:tcW w:type="dxa" w:w="2520"/>
          </w:tcPr>
          <w:p>
            <w:r>
              <w:t>Field</w:t>
            </w:r>
          </w:p>
        </w:tc>
        <w:tc>
          <w:tcPr>
            <w:tcW w:type="dxa" w:w="2520"/>
          </w:tcPr>
          <w:p>
            <w:r>
              <w:t>Type</w:t>
            </w:r>
          </w:p>
        </w:tc>
        <w:tc>
          <w:tcPr>
            <w:tcW w:type="dxa" w:w="2520"/>
          </w:tcPr>
          <w:p>
            <w:r>
              <w:t>Meaning</w:t>
            </w:r>
          </w:p>
        </w:tc>
        <w:tc>
          <w:tcPr>
            <w:tcW w:type="dxa" w:w="2520"/>
          </w:tcPr>
          <w:p>
            <w:r>
              <w:t>Contract</w:t>
            </w:r>
          </w:p>
        </w:tc>
      </w:tr>
      <w:tr>
        <w:trPr>
          <w:cantSplit/>
        </w:trPr>
        <w:tc>
          <w:tcPr>
            <w:tcW w:type="dxa" w:w="2520"/>
          </w:tcPr>
          <w:p>
            <w:r>
              <w:t>eventId</w:t>
            </w:r>
          </w:p>
        </w:tc>
        <w:tc>
          <w:tcPr>
            <w:tcW w:type="dxa" w:w="2520"/>
          </w:tcPr>
          <w:p>
            <w:r>
              <w:t>string</w:t>
            </w:r>
          </w:p>
        </w:tc>
        <w:tc>
          <w:tcPr>
            <w:tcW w:type="dxa" w:w="2520"/>
          </w:tcPr>
          <w:p>
            <w:r>
              <w:t>Echo of the Oracle's event identifier</w:t>
            </w:r>
          </w:p>
        </w:tc>
        <w:tc>
          <w:tcPr>
            <w:tcW w:type="dxa" w:w="2520"/>
          </w:tcPr>
          <w:p>
            <w:r>
              <w:t>Must match request eventId exactly.</w:t>
            </w:r>
          </w:p>
        </w:tc>
      </w:tr>
      <w:tr>
        <w:trPr>
          <w:cantSplit/>
        </w:trPr>
        <w:tc>
          <w:tcPr>
            <w:tcW w:type="dxa" w:w="2520"/>
          </w:tcPr>
          <w:p>
            <w:r>
              <w:t>riskScore</w:t>
            </w:r>
          </w:p>
        </w:tc>
        <w:tc>
          <w:tcPr>
            <w:tcW w:type="dxa" w:w="2520"/>
          </w:tcPr>
          <w:p>
            <w:r>
              <w:t>integer</w:t>
            </w:r>
          </w:p>
        </w:tc>
        <w:tc>
          <w:tcPr>
            <w:tcW w:type="dxa" w:w="2520"/>
          </w:tcPr>
          <w:p>
            <w:r>
              <w:t>Classifier risk score</w:t>
            </w:r>
          </w:p>
        </w:tc>
        <w:tc>
          <w:tcPr>
            <w:tcW w:type="dxa" w:w="2520"/>
          </w:tcPr>
          <w:p>
            <w:r>
              <w:t>0-100 inclusive.</w:t>
            </w:r>
          </w:p>
        </w:tc>
      </w:tr>
      <w:tr>
        <w:trPr>
          <w:cantSplit/>
        </w:trPr>
        <w:tc>
          <w:tcPr>
            <w:tcW w:type="dxa" w:w="2520"/>
          </w:tcPr>
          <w:p>
            <w:r>
              <w:t>probability</w:t>
            </w:r>
          </w:p>
        </w:tc>
        <w:tc>
          <w:tcPr>
            <w:tcW w:type="dxa" w:w="2520"/>
          </w:tcPr>
          <w:p>
            <w:r>
              <w:t>number</w:t>
            </w:r>
          </w:p>
        </w:tc>
        <w:tc>
          <w:tcPr>
            <w:tcW w:type="dxa" w:w="2520"/>
          </w:tcPr>
          <w:p>
            <w:r>
              <w:t>Positive-class model probability</w:t>
            </w:r>
          </w:p>
        </w:tc>
        <w:tc>
          <w:tcPr>
            <w:tcW w:type="dxa" w:w="2520"/>
          </w:tcPr>
          <w:p>
            <w:r>
              <w:t>0.0-1.0; model mode only.</w:t>
            </w:r>
          </w:p>
        </w:tc>
      </w:tr>
      <w:tr>
        <w:trPr>
          <w:cantSplit/>
        </w:trPr>
        <w:tc>
          <w:tcPr>
            <w:tcW w:type="dxa" w:w="2520"/>
          </w:tcPr>
          <w:p>
            <w:r>
              <w:t>modelVersion</w:t>
            </w:r>
          </w:p>
        </w:tc>
        <w:tc>
          <w:tcPr>
            <w:tcW w:type="dxa" w:w="2520"/>
          </w:tcPr>
          <w:p>
            <w:r>
              <w:t>string</w:t>
            </w:r>
          </w:p>
        </w:tc>
        <w:tc>
          <w:tcPr>
            <w:tcW w:type="dxa" w:w="2520"/>
          </w:tcPr>
          <w:p>
            <w:r>
              <w:t>Identifies scoring implementation</w:t>
            </w:r>
          </w:p>
        </w:tc>
        <w:tc>
          <w:tcPr>
            <w:tcW w:type="dxa" w:w="2520"/>
          </w:tcPr>
          <w:p>
            <w:r>
              <w:t>Use "rules-v1" for temporary rules and "model-v1" for trained model.</w:t>
            </w:r>
          </w:p>
        </w:tc>
      </w:tr>
    </w:tbl>
    <w:p>
      <w:pPr>
        <w:pStyle w:val="Heading1"/>
      </w:pPr>
      <w:r>
        <w:t>6. Temporary Rule-Based Scorer</w:t>
      </w:r>
    </w:p>
    <w:p>
      <w:r>
        <w:t>Backend Dev 3 may expose a deterministic rule-based scorer before the ML model is ready so Backend Dev 2 can integrate immediately. It must use the same POST /score request shape. Responses must identify the scorer as "rules-v1". The rules are an integration stub, not a trained ML model and must not be presented as an ML probability.</w:t>
      </w:r>
    </w:p>
    <w:p>
      <w:pPr>
        <w:pStyle w:val="Heading1"/>
      </w:pPr>
      <w:r>
        <w:t>7. Health Endpoint</w:t>
      </w:r>
    </w:p>
    <w:p>
      <w:r>
        <w:t>GET /health should allow Backend Dev 2 to verify that the classifier service is available.</w:t>
      </w:r>
    </w:p>
    <w:p>
      <w:r>
        <w:rPr>
          <w:rFonts w:ascii="Consolas" w:hAnsi="Consolas"/>
          <w:sz w:val="18"/>
        </w:rPr>
        <w:t>{</w:t>
        <w:br/>
        <w:t xml:space="preserve">  "status": "ok",</w:t>
        <w:br/>
        <w:t xml:space="preserve">  "modelVersion": "model-v1"</w:t>
        <w:br/>
        <w:t>}</w:t>
      </w:r>
    </w:p>
    <w:p>
      <w:pPr>
        <w:pStyle w:val="Heading1"/>
      </w:pPr>
      <w:r>
        <w:t>8. Live Events and Demo Replays</w:t>
      </w:r>
    </w:p>
    <w:p>
      <w:r>
        <w:t>Live USGS events and historical replay events must use the same /score request schema. Backend Dev 2 is responsible for converting either source into eventId, magnitude, depthKm, latitude, and longitude before calling the classifier.</w:t>
      </w:r>
    </w:p>
    <w:p>
      <w:pPr>
        <w:pStyle w:val="ListBullet"/>
      </w:pPr>
      <w:r>
        <w:t>Do not require cdi, mmi, sig, felt reports, or similar fields; they may be unavailable/null early in a live event.</w:t>
      </w:r>
    </w:p>
    <w:p>
      <w:pPr>
        <w:pStyle w:val="ListBullet"/>
      </w:pPr>
      <w:r>
        <w:t>Historical demo events should be excluded from model training if they will be presented as held-out examples.</w:t>
      </w:r>
    </w:p>
    <w:p>
      <w:pPr>
        <w:pStyle w:val="ListBullet"/>
      </w:pPr>
      <w:r>
        <w:t>Use stable USGS event IDs for demo exclusions and replay identification rather than CSV row numbers whenever possible.</w:t>
      </w:r>
    </w:p>
    <w:p>
      <w:pPr>
        <w:pStyle w:val="ListBullet"/>
      </w:pPr>
      <w:r>
        <w:t>Do not tune the model or threshold solely to force selected demo events to fall on a desired side of the threshold.</w:t>
      </w:r>
    </w:p>
    <w:p>
      <w:pPr>
        <w:pStyle w:val="Heading1"/>
      </w:pPr>
      <w:r>
        <w:t>9. Threshold Ownership</w:t>
      </w:r>
    </w:p>
    <w:p>
      <w:r>
        <w:t>The ML classifier returns riskScore; it does not decide whether ReliefPool pays out. Backend Dev 2 / the pool logic owns the payout-threshold comparison. The team should select and lock the threshold using model validation/score distribution rather than hardcoding it inside the classifier.</w:t>
      </w:r>
    </w:p>
    <w:p>
      <w:pPr>
        <w:pStyle w:val="Heading1"/>
      </w:pPr>
      <w:r>
        <w:t>10. Error Expectations</w:t>
      </w:r>
    </w:p>
    <w:tbl>
      <w:tblPr>
        <w:tblStyle w:val="TableGrid"/>
        <w:tblW w:type="auto" w:w="0"/>
        <w:tblLook w:firstColumn="1" w:firstRow="1" w:lastColumn="0" w:lastRow="0" w:noHBand="0" w:noVBand="1" w:val="04A0"/>
      </w:tblPr>
      <w:tblGrid>
        <w:gridCol w:w="5040"/>
        <w:gridCol w:w="5040"/>
      </w:tblGrid>
      <w:tr>
        <w:trPr>
          <w:cantSplit/>
        </w:trPr>
        <w:tc>
          <w:tcPr>
            <w:tcW w:type="dxa" w:w="5040"/>
          </w:tcPr>
          <w:p>
            <w:r>
              <w:t>Situation</w:t>
            </w:r>
          </w:p>
        </w:tc>
        <w:tc>
          <w:tcPr>
            <w:tcW w:type="dxa" w:w="5040"/>
          </w:tcPr>
          <w:p>
            <w:r>
              <w:t>Expected behavior</w:t>
            </w:r>
          </w:p>
        </w:tc>
      </w:tr>
      <w:tr>
        <w:trPr>
          <w:cantSplit/>
        </w:trPr>
        <w:tc>
          <w:tcPr>
            <w:tcW w:type="dxa" w:w="5040"/>
          </w:tcPr>
          <w:p>
            <w:r>
              <w:t>Missing required field</w:t>
            </w:r>
          </w:p>
        </w:tc>
        <w:tc>
          <w:tcPr>
            <w:tcW w:type="dxa" w:w="5040"/>
          </w:tcPr>
          <w:p>
            <w:r>
              <w:t>Reject the score request; do not invent a value.</w:t>
            </w:r>
          </w:p>
        </w:tc>
      </w:tr>
      <w:tr>
        <w:trPr>
          <w:cantSplit/>
        </w:trPr>
        <w:tc>
          <w:tcPr>
            <w:tcW w:type="dxa" w:w="5040"/>
          </w:tcPr>
          <w:p>
            <w:r>
              <w:t>Invalid latitude/longitude</w:t>
            </w:r>
          </w:p>
        </w:tc>
        <w:tc>
          <w:tcPr>
            <w:tcW w:type="dxa" w:w="5040"/>
          </w:tcPr>
          <w:p>
            <w:r>
              <w:t>Reject the score request.</w:t>
            </w:r>
          </w:p>
        </w:tc>
      </w:tr>
      <w:tr>
        <w:trPr>
          <w:cantSplit/>
        </w:trPr>
        <w:tc>
          <w:tcPr>
            <w:tcW w:type="dxa" w:w="5040"/>
          </w:tcPr>
          <w:p>
            <w:r>
              <w:t>Classifier unavailable/model not loaded</w:t>
            </w:r>
          </w:p>
        </w:tc>
        <w:tc>
          <w:tcPr>
            <w:tcW w:type="dxa" w:w="5040"/>
          </w:tcPr>
          <w:p>
            <w:r>
              <w:t>Return an error/unavailable response; Oracle must not treat it as low risk.</w:t>
            </w:r>
          </w:p>
        </w:tc>
      </w:tr>
      <w:tr>
        <w:trPr>
          <w:cantSplit/>
        </w:trPr>
        <w:tc>
          <w:tcPr>
            <w:tcW w:type="dxa" w:w="5040"/>
          </w:tcPr>
          <w:p>
            <w:r>
              <w:t>USGS field not yet available</w:t>
            </w:r>
          </w:p>
        </w:tc>
        <w:tc>
          <w:tcPr>
            <w:tcW w:type="dxa" w:w="5040"/>
          </w:tcPr>
          <w:p>
            <w:r>
              <w:t>Oracle should retry or mark event unscorable rather than substitute arbitrary data.</w:t>
            </w:r>
          </w:p>
        </w:tc>
      </w:tr>
    </w:tbl>
    <w:p>
      <w:pPr>
        <w:pStyle w:val="Heading1"/>
      </w:pPr>
      <w:r>
        <w:t>11. Performance Target</w:t>
      </w:r>
    </w:p>
    <w:p>
      <w:r>
        <w:t>Target classifier response time: under 2 seconds per /score request during the hackathon demo. The model should be loaded once at service startup rather than retrained or reloaded for every request.</w:t>
      </w:r>
    </w:p>
    <w:p>
      <w:pPr>
        <w:pStyle w:val="Heading1"/>
      </w:pPr>
      <w:r>
        <w:t>12. Integration Checklist</w:t>
      </w:r>
    </w:p>
    <w:p>
      <w:pPr>
        <w:pStyle w:val="ListNumber"/>
      </w:pPr>
      <w:r>
        <w:t>Backend Dev 2 can POST a sample USGS event to /score.</w:t>
      </w:r>
    </w:p>
    <w:p>
      <w:pPr>
        <w:pStyle w:val="ListNumber"/>
      </w:pPr>
      <w:r>
        <w:t>Backend Dev 3 receives exactly eventId, magnitude, depthKm, latitude, and longitude.</w:t>
      </w:r>
    </w:p>
    <w:p>
      <w:pPr>
        <w:pStyle w:val="ListNumber"/>
      </w:pPr>
      <w:r>
        <w:t>Classifier returns the same eventId plus riskScore and modelVersion.</w:t>
      </w:r>
    </w:p>
    <w:p>
      <w:pPr>
        <w:pStyle w:val="ListNumber"/>
      </w:pPr>
      <w:r>
        <w:t>When model-v1 is active, probability is returned as the positive tsunami-class probability.</w:t>
      </w:r>
    </w:p>
    <w:p>
      <w:pPr>
        <w:pStyle w:val="ListNumber"/>
      </w:pPr>
      <w:r>
        <w:t>Backend Dev 2 can distinguish rules-v1 from model-v1.</w:t>
      </w:r>
    </w:p>
    <w:p>
      <w:pPr>
        <w:pStyle w:val="ListNumber"/>
      </w:pPr>
      <w:r>
        <w:t>Backend Dev 2 performs the threshold check; Backend Dev 3 does not trigger Solana.</w:t>
      </w:r>
    </w:p>
    <w:p>
      <w:pPr>
        <w:pStyle w:val="ListNumber"/>
      </w:pPr>
      <w:r>
        <w:t>The same request schema works for live USGS events and historical replay events.</w:t>
      </w:r>
    </w:p>
    <w:p>
      <w:pPr>
        <w:pStyle w:val="ListNumber"/>
      </w:pPr>
      <w:r>
        <w:t>Selected demo events are held out from model training.</w:t>
      </w:r>
    </w:p>
    <w:p>
      <w:pPr>
        <w:pStyle w:val="ListNumber"/>
      </w:pPr>
      <w:r>
        <w:t>Backend Dev 3 tells Backend Dev 2 before switching the service from rules-v1 to model-v1.</w:t>
      </w:r>
    </w:p>
    <w:p>
      <w:pPr>
        <w:pStyle w:val="Heading1"/>
      </w:pPr>
      <w:r>
        <w:t>13. Current Data/Model Note</w:t>
      </w:r>
    </w:p>
    <w:p>
      <w:r>
        <w:t>The team is currently replacing the original training dataset with a more defensible historical earthquake/tsunami dataset. This does not change the Oracle &lt;-&gt; classifier API contract above. If the final training data cannot support one of the four predictive features, Backend Dev 3 must notify Backend Dev 2 before changing the interface.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ReliefPool Oracle &lt;-&gt; ML Classifier Interface Contract • v1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