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B6" w:rsidRDefault="004D27B6" w:rsidP="00B90CD1">
      <w:pPr>
        <w:ind w:left="180"/>
      </w:pPr>
      <w:r w:rsidRPr="009A694D">
        <w:rPr>
          <w:b/>
        </w:rPr>
        <w:t xml:space="preserve">Amazon </w:t>
      </w:r>
      <w:proofErr w:type="spellStart"/>
      <w:r w:rsidRPr="009A694D">
        <w:rPr>
          <w:b/>
        </w:rPr>
        <w:t>WorkDocs</w:t>
      </w:r>
      <w:proofErr w:type="spellEnd"/>
      <w:r w:rsidRPr="009A694D">
        <w:rPr>
          <w:b/>
        </w:rPr>
        <w:t xml:space="preserve"> </w:t>
      </w:r>
      <w:r>
        <w:t>is a fully Amazon managed, highly-secure, enterprise-level storage and sharing</w:t>
      </w:r>
      <w:r w:rsidR="00B90CD1">
        <w:t xml:space="preserve"> s</w:t>
      </w:r>
      <w:r>
        <w:t>ervice. Unlike $3 based stored files, you can also share your files with other members of your</w:t>
      </w:r>
      <w:r w:rsidR="0015612B">
        <w:t xml:space="preserve"> </w:t>
      </w:r>
      <w:r>
        <w:t>Organization f</w:t>
      </w:r>
      <w:r w:rsidR="00B90CD1">
        <w:t>or the collaboration or review.</w:t>
      </w:r>
    </w:p>
    <w:p w:rsidR="004D27B6" w:rsidRDefault="004D27B6" w:rsidP="00B90CD1">
      <w:pPr>
        <w:ind w:left="180"/>
      </w:pPr>
      <w:r>
        <w:t xml:space="preserve">Before proceeding for the Amazon </w:t>
      </w:r>
      <w:proofErr w:type="spellStart"/>
      <w:r>
        <w:t>WorkDocs</w:t>
      </w:r>
      <w:proofErr w:type="spellEnd"/>
      <w:r>
        <w:t>, let’s have a look at what</w:t>
      </w:r>
      <w:r w:rsidR="00B90CD1">
        <w:t xml:space="preserve"> Amazon says about its pricing:</w:t>
      </w:r>
    </w:p>
    <w:p w:rsidR="004D27B6" w:rsidRDefault="004D27B6" w:rsidP="004D27B6">
      <w:pPr>
        <w:ind w:left="180"/>
      </w:pPr>
      <w:r>
        <w:t xml:space="preserve">With Amazon </w:t>
      </w:r>
      <w:proofErr w:type="spellStart"/>
      <w:r>
        <w:t>WorkDocs</w:t>
      </w:r>
      <w:proofErr w:type="spellEnd"/>
      <w:r>
        <w:t>, there are no upfront fees or commitments. You pay only for active user</w:t>
      </w:r>
      <w:r w:rsidR="0015612B">
        <w:t xml:space="preserve"> </w:t>
      </w:r>
      <w:r>
        <w:t xml:space="preserve">accounts, and the storage you use. In most regions, </w:t>
      </w:r>
      <w:proofErr w:type="spellStart"/>
      <w:r>
        <w:t>WorkDocs</w:t>
      </w:r>
      <w:proofErr w:type="spellEnd"/>
      <w:r>
        <w:t xml:space="preserve"> costs $5 per user per month and includes</w:t>
      </w:r>
      <w:r w:rsidR="0015612B">
        <w:t xml:space="preserve"> </w:t>
      </w:r>
      <w:r>
        <w:t xml:space="preserve">1 TB </w:t>
      </w:r>
      <w:proofErr w:type="spellStart"/>
      <w:r>
        <w:t>ofstorage</w:t>
      </w:r>
      <w:proofErr w:type="spellEnd"/>
      <w:r>
        <w:t xml:space="preserve"> for each user. </w:t>
      </w:r>
      <w:proofErr w:type="spellStart"/>
      <w:r>
        <w:t>WorkDocs</w:t>
      </w:r>
      <w:proofErr w:type="spellEnd"/>
      <w:r>
        <w:t xml:space="preserve"> provides a 30-day free trial with 1 TB of storage per user for up</w:t>
      </w:r>
      <w:r w:rsidR="0015612B">
        <w:t xml:space="preserve"> </w:t>
      </w:r>
      <w:r>
        <w:t xml:space="preserve">to 50 users. You can invite guest users to log in and view files shared with </w:t>
      </w:r>
      <w:r w:rsidR="001B1691">
        <w:t>them at no additional charge.”</w:t>
      </w:r>
    </w:p>
    <w:p w:rsidR="004D27B6" w:rsidRDefault="004D27B6" w:rsidP="004D27B6">
      <w:pPr>
        <w:ind w:left="180"/>
      </w:pPr>
      <w:r>
        <w:t>As per the above statement, you have 30 days free trial for up to 1 TB of storage that should be more</w:t>
      </w:r>
      <w:r w:rsidR="009F315E">
        <w:t xml:space="preserve"> </w:t>
      </w:r>
      <w:r>
        <w:t>than enough for the learning purpose.</w:t>
      </w:r>
    </w:p>
    <w:p w:rsidR="009F315E" w:rsidRPr="009F315E" w:rsidRDefault="009F315E" w:rsidP="009F315E">
      <w:pPr>
        <w:spacing w:before="63"/>
        <w:ind w:left="180"/>
        <w:rPr>
          <w:sz w:val="19"/>
        </w:rPr>
      </w:pPr>
      <w:r>
        <w:rPr>
          <w:w w:val="115"/>
          <w:sz w:val="20"/>
        </w:rPr>
        <w:t>To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1"/>
        </w:rPr>
        <w:t>setup</w:t>
      </w:r>
      <w:r>
        <w:rPr>
          <w:spacing w:val="-17"/>
          <w:w w:val="115"/>
          <w:sz w:val="21"/>
        </w:rPr>
        <w:t xml:space="preserve"> </w:t>
      </w:r>
      <w:r>
        <w:rPr>
          <w:w w:val="115"/>
          <w:sz w:val="21"/>
        </w:rPr>
        <w:t>Amazon</w:t>
      </w:r>
      <w:r>
        <w:rPr>
          <w:spacing w:val="22"/>
          <w:w w:val="115"/>
          <w:sz w:val="21"/>
        </w:rPr>
        <w:t xml:space="preserve"> </w:t>
      </w:r>
      <w:proofErr w:type="spellStart"/>
      <w:r>
        <w:rPr>
          <w:w w:val="115"/>
          <w:sz w:val="20"/>
        </w:rPr>
        <w:t>WorkDocs</w:t>
      </w:r>
      <w:proofErr w:type="spellEnd"/>
      <w:r>
        <w:rPr>
          <w:w w:val="115"/>
          <w:sz w:val="20"/>
        </w:rPr>
        <w:t>,</w:t>
      </w:r>
      <w:r w:rsidR="00C67DF7"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you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19"/>
        </w:rPr>
        <w:t>need</w:t>
      </w:r>
      <w:r>
        <w:rPr>
          <w:spacing w:val="11"/>
          <w:w w:val="115"/>
          <w:sz w:val="19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  <w:sz w:val="20"/>
        </w:rPr>
        <w:t>perform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1"/>
        </w:rPr>
        <w:t>the</w:t>
      </w:r>
      <w:r>
        <w:rPr>
          <w:spacing w:val="-22"/>
          <w:w w:val="115"/>
          <w:sz w:val="21"/>
        </w:rPr>
        <w:t xml:space="preserve"> </w:t>
      </w:r>
      <w:r>
        <w:rPr>
          <w:w w:val="115"/>
          <w:sz w:val="20"/>
        </w:rPr>
        <w:t>following</w:t>
      </w:r>
      <w:r>
        <w:rPr>
          <w:spacing w:val="13"/>
          <w:w w:val="115"/>
          <w:sz w:val="20"/>
        </w:rPr>
        <w:t xml:space="preserve"> </w:t>
      </w:r>
      <w:r>
        <w:rPr>
          <w:spacing w:val="-2"/>
          <w:w w:val="115"/>
          <w:sz w:val="19"/>
        </w:rPr>
        <w:t>steps:</w:t>
      </w:r>
    </w:p>
    <w:p w:rsidR="001A1CF3" w:rsidRDefault="001A1CF3" w:rsidP="001A1CF3">
      <w:pPr>
        <w:pStyle w:val="ListParagraph"/>
        <w:numPr>
          <w:ilvl w:val="0"/>
          <w:numId w:val="1"/>
        </w:numPr>
      </w:pPr>
      <w:r>
        <w:t xml:space="preserve">Go to the particular link </w:t>
      </w:r>
      <w:hyperlink r:id="rId8" w:history="1">
        <w:r w:rsidRPr="00447EE3">
          <w:rPr>
            <w:rStyle w:val="Hyperlink"/>
          </w:rPr>
          <w:t>https://aws.amazon.com/workdocs/</w:t>
        </w:r>
      </w:hyperlink>
      <w:r>
        <w:t xml:space="preserve"> </w:t>
      </w:r>
    </w:p>
    <w:p w:rsidR="00584C09" w:rsidRDefault="00545DA2" w:rsidP="00584C09">
      <w:pPr>
        <w:pStyle w:val="ListParagraph"/>
        <w:ind w:left="540"/>
      </w:pPr>
      <w:bookmarkStart w:id="0" w:name="_GoBack"/>
      <w:r w:rsidRPr="00545DA2">
        <w:drawing>
          <wp:inline distT="0" distB="0" distL="0" distR="0" wp14:anchorId="24980030" wp14:editId="13CAE8E3">
            <wp:extent cx="4992837" cy="2313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123" cy="23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0CA0" w:rsidRDefault="00EE0CA0" w:rsidP="00EE0CA0">
      <w:pPr>
        <w:pStyle w:val="ListParagraph"/>
        <w:numPr>
          <w:ilvl w:val="0"/>
          <w:numId w:val="1"/>
        </w:numPr>
      </w:pPr>
      <w:r>
        <w:t xml:space="preserve">Navigate to the </w:t>
      </w:r>
      <w:r w:rsidRPr="005F71F3">
        <w:rPr>
          <w:b/>
        </w:rPr>
        <w:t xml:space="preserve">Amazon </w:t>
      </w:r>
      <w:proofErr w:type="spellStart"/>
      <w:r w:rsidRPr="005F71F3">
        <w:rPr>
          <w:b/>
        </w:rPr>
        <w:t>WorkDocs</w:t>
      </w:r>
      <w:proofErr w:type="spellEnd"/>
      <w:r>
        <w:t xml:space="preserve"> home page for the supported region (not every region supports</w:t>
      </w:r>
      <w:r>
        <w:t xml:space="preserve"> </w:t>
      </w:r>
      <w:r>
        <w:t>this feature).</w:t>
      </w:r>
    </w:p>
    <w:p w:rsidR="00641461" w:rsidRDefault="00641461" w:rsidP="00641461">
      <w:pPr>
        <w:pStyle w:val="ListParagraph"/>
        <w:numPr>
          <w:ilvl w:val="0"/>
          <w:numId w:val="1"/>
        </w:numPr>
      </w:pPr>
      <w:r w:rsidRPr="00641461">
        <w:t xml:space="preserve">Click the </w:t>
      </w:r>
      <w:r w:rsidRPr="001F51BB">
        <w:rPr>
          <w:b/>
        </w:rPr>
        <w:t>Get Started Now</w:t>
      </w:r>
      <w:r w:rsidRPr="00641461">
        <w:t xml:space="preserve"> button to proceed to the next page.</w:t>
      </w:r>
    </w:p>
    <w:p w:rsidR="005B47F2" w:rsidRDefault="005B47F2" w:rsidP="005B47F2">
      <w:pPr>
        <w:pStyle w:val="ListParagraph"/>
        <w:numPr>
          <w:ilvl w:val="0"/>
          <w:numId w:val="1"/>
        </w:numPr>
      </w:pPr>
      <w:r>
        <w:t xml:space="preserve">Here, you will see the </w:t>
      </w:r>
      <w:r w:rsidRPr="00C42EF8">
        <w:rPr>
          <w:b/>
        </w:rPr>
        <w:t>Quick and Standard</w:t>
      </w:r>
      <w:r>
        <w:t xml:space="preserve"> setup options as shown in the following figure. For the</w:t>
      </w:r>
      <w:r>
        <w:t xml:space="preserve"> </w:t>
      </w:r>
      <w:r>
        <w:t xml:space="preserve">learning purpose, the </w:t>
      </w:r>
      <w:r w:rsidRPr="00C42EF8">
        <w:rPr>
          <w:b/>
        </w:rPr>
        <w:t xml:space="preserve">Quick Start </w:t>
      </w:r>
      <w:r>
        <w:t>setup guide should be enough. So proceed with this.</w:t>
      </w:r>
    </w:p>
    <w:p w:rsidR="008252D8" w:rsidRDefault="008252D8" w:rsidP="008252D8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255127" cy="2602010"/>
            <wp:effectExtent l="19050" t="19050" r="22225" b="27305"/>
            <wp:docPr id="1" name="Picture 1" descr="Getting Started with AWS WorkDocs - vemb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with AWS WorkDocs - vembu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78" cy="2605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47F2" w:rsidRDefault="005A6AD6" w:rsidP="00641461">
      <w:pPr>
        <w:pStyle w:val="ListParagraph"/>
        <w:numPr>
          <w:ilvl w:val="0"/>
          <w:numId w:val="1"/>
        </w:numPr>
      </w:pPr>
      <w:r>
        <w:t>On the next page, you need to specify the site URL, email and name details as shown in the following figure.</w:t>
      </w:r>
    </w:p>
    <w:p w:rsidR="00F13C5F" w:rsidRDefault="00F13C5F" w:rsidP="00F13C5F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>
            <wp:extent cx="5150027" cy="2798859"/>
            <wp:effectExtent l="19050" t="19050" r="12700" b="20955"/>
            <wp:docPr id="2" name="Picture 2" descr="Getting Started with AWS WorkDocs - vemb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ting Started with AWS WorkDocs - vembu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80" cy="2799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84C37" w:rsidRDefault="00D84C37" w:rsidP="00D84C37">
      <w:pPr>
        <w:pStyle w:val="ListParagraph"/>
        <w:numPr>
          <w:ilvl w:val="0"/>
          <w:numId w:val="1"/>
        </w:numPr>
      </w:pPr>
      <w:r>
        <w:t xml:space="preserve">Finally, click </w:t>
      </w:r>
      <w:r w:rsidRPr="00466A7D">
        <w:rPr>
          <w:b/>
        </w:rPr>
        <w:t>Complete Setup</w:t>
      </w:r>
      <w:r>
        <w:t xml:space="preserve"> to complete the wizard. Your </w:t>
      </w:r>
      <w:proofErr w:type="spellStart"/>
      <w:r>
        <w:t>WordDocs</w:t>
      </w:r>
      <w:proofErr w:type="spellEnd"/>
      <w:r>
        <w:t xml:space="preserve"> site will be started to initialize and should be available after some time. In fact, you will get an email once your </w:t>
      </w:r>
      <w:proofErr w:type="spellStart"/>
      <w:r>
        <w:t>WorkDocs</w:t>
      </w:r>
      <w:proofErr w:type="spellEnd"/>
      <w:r>
        <w:t xml:space="preserve"> site is ready.</w:t>
      </w:r>
    </w:p>
    <w:p w:rsidR="00466A7D" w:rsidRDefault="00D84C37" w:rsidP="00AD7EFB">
      <w:pPr>
        <w:pStyle w:val="ListParagraph"/>
        <w:numPr>
          <w:ilvl w:val="0"/>
          <w:numId w:val="1"/>
        </w:numPr>
      </w:pPr>
      <w:r>
        <w:t>Now click the invite link you receive in your email box an</w:t>
      </w:r>
      <w:r>
        <w:t>d set the desired password on th</w:t>
      </w:r>
      <w:r>
        <w:t>e</w:t>
      </w:r>
      <w:r>
        <w:t xml:space="preserve"> next page</w:t>
      </w:r>
      <w:r w:rsidR="00466A7D">
        <w:t>.</w:t>
      </w:r>
    </w:p>
    <w:p w:rsidR="00C57F44" w:rsidRDefault="00EA7BC2" w:rsidP="00C57F44">
      <w:pPr>
        <w:pStyle w:val="ListParagraph"/>
        <w:numPr>
          <w:ilvl w:val="0"/>
          <w:numId w:val="1"/>
        </w:numPr>
      </w:pPr>
      <w:r>
        <w:t>If you</w:t>
      </w:r>
      <w:r w:rsidR="00D84C37">
        <w:t xml:space="preserve"> didn’t get an invite mail yet, select your created </w:t>
      </w:r>
      <w:proofErr w:type="spellStart"/>
      <w:r w:rsidR="00D84C37">
        <w:t>WorkDocs</w:t>
      </w:r>
      <w:proofErr w:type="spellEnd"/>
      <w:r w:rsidR="00D84C37">
        <w:t xml:space="preserve"> </w:t>
      </w:r>
      <w:r>
        <w:t xml:space="preserve">site, click </w:t>
      </w:r>
      <w:r w:rsidRPr="00466A7D">
        <w:rPr>
          <w:b/>
        </w:rPr>
        <w:t>Actions</w:t>
      </w:r>
      <w:r w:rsidR="00466A7D">
        <w:t xml:space="preserve">, and select </w:t>
      </w:r>
      <w:r w:rsidR="00466A7D" w:rsidRPr="00466A7D">
        <w:rPr>
          <w:b/>
        </w:rPr>
        <w:t>R</w:t>
      </w:r>
      <w:r w:rsidRPr="00466A7D">
        <w:rPr>
          <w:b/>
        </w:rPr>
        <w:t>esend invite e-mail</w:t>
      </w:r>
      <w:r>
        <w:t xml:space="preserve"> as </w:t>
      </w:r>
      <w:r w:rsidR="00D84C37">
        <w:t>shown in the following figure.</w:t>
      </w:r>
    </w:p>
    <w:p w:rsidR="00C57F44" w:rsidRDefault="00C57F44" w:rsidP="00C57F44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4846318" cy="2097700"/>
            <wp:effectExtent l="19050" t="19050" r="12065" b="17145"/>
            <wp:docPr id="3" name="Picture 3" descr="Automatically sync files from Amazon WorkDocs to Amazon S3 | AWS Storage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matically sync files from Amazon WorkDocs to Amazon S3 | AWS Storage  B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55" cy="20988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7EFB" w:rsidRDefault="00AD7EFB" w:rsidP="00AD7EFB">
      <w:pPr>
        <w:pStyle w:val="ListParagraph"/>
        <w:numPr>
          <w:ilvl w:val="0"/>
          <w:numId w:val="1"/>
        </w:numPr>
      </w:pPr>
      <w:r w:rsidRPr="00AD7EFB">
        <w:t xml:space="preserve">Now, click your </w:t>
      </w:r>
      <w:proofErr w:type="spellStart"/>
      <w:r w:rsidRPr="0018633F">
        <w:rPr>
          <w:b/>
        </w:rPr>
        <w:t>WorkDocs</w:t>
      </w:r>
      <w:proofErr w:type="spellEnd"/>
      <w:r w:rsidRPr="0018633F">
        <w:rPr>
          <w:b/>
        </w:rPr>
        <w:t xml:space="preserve"> site </w:t>
      </w:r>
      <w:r w:rsidR="0018633F" w:rsidRPr="0018633F">
        <w:rPr>
          <w:b/>
        </w:rPr>
        <w:t>l</w:t>
      </w:r>
      <w:r w:rsidRPr="0018633F">
        <w:rPr>
          <w:b/>
        </w:rPr>
        <w:t>ink</w:t>
      </w:r>
      <w:r w:rsidRPr="00AD7EFB">
        <w:t xml:space="preserve">, type your registered email ID and login to </w:t>
      </w:r>
      <w:proofErr w:type="spellStart"/>
      <w:r w:rsidRPr="00AD7EFB">
        <w:t>WorkDocs</w:t>
      </w:r>
      <w:proofErr w:type="spellEnd"/>
      <w:r w:rsidRPr="00AD7EFB">
        <w:t xml:space="preserve"> console.</w:t>
      </w:r>
      <w:r>
        <w:t xml:space="preserve"> </w:t>
      </w:r>
      <w:r w:rsidRPr="00AD7EFB">
        <w:t xml:space="preserve">You will see the </w:t>
      </w:r>
      <w:proofErr w:type="spellStart"/>
      <w:r w:rsidRPr="00AD7EFB">
        <w:t>WorkDocs</w:t>
      </w:r>
      <w:proofErr w:type="spellEnd"/>
      <w:r w:rsidRPr="00AD7EFB">
        <w:t xml:space="preserve"> console similar to </w:t>
      </w:r>
      <w:r>
        <w:t xml:space="preserve">as </w:t>
      </w:r>
      <w:r w:rsidRPr="00AD7EFB">
        <w:t>shown in</w:t>
      </w:r>
      <w:r>
        <w:t xml:space="preserve"> </w:t>
      </w:r>
      <w:r w:rsidRPr="00AD7EFB">
        <w:t>the following figure</w:t>
      </w:r>
      <w:r w:rsidR="009B7802">
        <w:t>.</w:t>
      </w:r>
    </w:p>
    <w:p w:rsidR="009D73AF" w:rsidRDefault="009D73AF" w:rsidP="009D73AF">
      <w:pPr>
        <w:pStyle w:val="ListParagraph"/>
        <w:ind w:left="540"/>
      </w:pPr>
      <w:r>
        <w:rPr>
          <w:noProof/>
        </w:rPr>
        <w:drawing>
          <wp:inline distT="0" distB="0" distL="0" distR="0" wp14:anchorId="1265B8C3" wp14:editId="636DD6BF">
            <wp:extent cx="4913906" cy="2186608"/>
            <wp:effectExtent l="19050" t="19050" r="20320" b="23495"/>
            <wp:docPr id="4" name="Picture 4" descr="AWS How-To: Using AWS for Enterprise Document Storage, Part 2 -- AWSIn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WS How-To: Using AWS for Enterprise Document Storage, Part 2 -- AWSInsid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77" cy="21886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7EFB" w:rsidRDefault="00EC67B1" w:rsidP="00AD7EFB">
      <w:pPr>
        <w:pStyle w:val="ListParagraph"/>
        <w:numPr>
          <w:ilvl w:val="0"/>
          <w:numId w:val="1"/>
        </w:numPr>
      </w:pPr>
      <w:r>
        <w:t>In the right pane, you have various options to upload files and folders or create a new folder</w:t>
      </w:r>
      <w:r>
        <w:t xml:space="preserve"> </w:t>
      </w:r>
      <w:r>
        <w:t>structure as shown in the following figure</w:t>
      </w:r>
      <w:r w:rsidR="00AD7EFB" w:rsidRPr="00AD7EFB">
        <w:t>.</w:t>
      </w:r>
    </w:p>
    <w:p w:rsidR="009D73AF" w:rsidRDefault="009D73AF" w:rsidP="009D73AF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0C2565A3" wp14:editId="11B8C52E">
            <wp:extent cx="4890052" cy="976027"/>
            <wp:effectExtent l="19050" t="19050" r="25400" b="14605"/>
            <wp:docPr id="5" name="Picture 5" descr="AWS Work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WS WorkDoc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53" cy="976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4236" w:rsidRPr="00AD7EFB" w:rsidRDefault="00484236" w:rsidP="00484236">
      <w:pPr>
        <w:pStyle w:val="ListParagraph"/>
        <w:ind w:left="540"/>
      </w:pPr>
    </w:p>
    <w:p w:rsidR="00AD7EFB" w:rsidRDefault="002054D3" w:rsidP="002054D3">
      <w:pPr>
        <w:pStyle w:val="ListParagraph"/>
        <w:numPr>
          <w:ilvl w:val="0"/>
          <w:numId w:val="1"/>
        </w:numPr>
      </w:pPr>
      <w:r w:rsidRPr="002054D3">
        <w:t xml:space="preserve">In the left navigation pane, there are various options to work with Amazon </w:t>
      </w:r>
      <w:proofErr w:type="spellStart"/>
      <w:r w:rsidRPr="002054D3">
        <w:t>WorkDocs</w:t>
      </w:r>
      <w:proofErr w:type="spellEnd"/>
      <w:r w:rsidRPr="002054D3">
        <w:t xml:space="preserve"> as shown in the following figure. We recommend you try to explore each one of them for a few minutes to understand and get familiarized with them.</w:t>
      </w:r>
    </w:p>
    <w:p w:rsidR="008A39FA" w:rsidRDefault="009D73AF" w:rsidP="008A39FA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184431" cy="2796493"/>
            <wp:effectExtent l="19050" t="19050" r="16510" b="23495"/>
            <wp:docPr id="6" name="Picture 6" descr="AWS Work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WS WorkDoc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733" cy="27988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839E2" w:rsidRDefault="009D2FE0" w:rsidP="009D2FE0">
      <w:pPr>
        <w:pStyle w:val="ListParagraph"/>
        <w:numPr>
          <w:ilvl w:val="0"/>
          <w:numId w:val="1"/>
        </w:numPr>
      </w:pPr>
      <w:r>
        <w:t xml:space="preserve">Once your activity is done, please delete your </w:t>
      </w:r>
      <w:proofErr w:type="spellStart"/>
      <w:r>
        <w:t>WorkDocs</w:t>
      </w:r>
      <w:proofErr w:type="spellEnd"/>
      <w:r>
        <w:t xml:space="preserve"> site to avoid any unnecessary charges. For this,</w:t>
      </w:r>
      <w:r>
        <w:t xml:space="preserve"> </w:t>
      </w:r>
      <w:r>
        <w:t xml:space="preserve">select your </w:t>
      </w:r>
      <w:proofErr w:type="spellStart"/>
      <w:r>
        <w:t>WorkDocs</w:t>
      </w:r>
      <w:proofErr w:type="spellEnd"/>
      <w:r>
        <w:t xml:space="preserve"> site, click </w:t>
      </w:r>
      <w:r w:rsidRPr="00D4613F">
        <w:rPr>
          <w:b/>
        </w:rPr>
        <w:t>Actions</w:t>
      </w:r>
      <w:r>
        <w:t xml:space="preserve">, and select </w:t>
      </w:r>
      <w:r w:rsidRPr="00D4613F">
        <w:rPr>
          <w:b/>
        </w:rPr>
        <w:t xml:space="preserve">Delete </w:t>
      </w:r>
      <w:proofErr w:type="spellStart"/>
      <w:r w:rsidRPr="00D4613F">
        <w:rPr>
          <w:b/>
        </w:rPr>
        <w:t>WorkDocs</w:t>
      </w:r>
      <w:proofErr w:type="spellEnd"/>
      <w:r w:rsidRPr="00D4613F">
        <w:rPr>
          <w:b/>
        </w:rPr>
        <w:t xml:space="preserve"> sites</w:t>
      </w:r>
      <w:r>
        <w:t>.</w:t>
      </w:r>
      <w:r>
        <w:t xml:space="preserve"> </w:t>
      </w:r>
    </w:p>
    <w:p w:rsidR="009D73AF" w:rsidRDefault="004471C3" w:rsidP="009D73AF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3534544" cy="3344923"/>
            <wp:effectExtent l="19050" t="19050" r="27940" b="27305"/>
            <wp:docPr id="7" name="Picture 7" descr="amazon web services - Cannot Delete AWS Directory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mazon web services - Cannot Delete AWS Directory - Stack Over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585" cy="3344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54D3" w:rsidRDefault="009D2FE0" w:rsidP="009D2FE0">
      <w:pPr>
        <w:pStyle w:val="ListParagraph"/>
        <w:numPr>
          <w:ilvl w:val="0"/>
          <w:numId w:val="1"/>
        </w:numPr>
      </w:pPr>
      <w:r>
        <w:t>Follow the on-screen instructions as shown in the following figure and complete the deletion process</w:t>
      </w:r>
    </w:p>
    <w:p w:rsidR="00AD7EFB" w:rsidRDefault="00AD7EFB" w:rsidP="00D84C37">
      <w:pPr>
        <w:pStyle w:val="ListParagraph"/>
        <w:ind w:left="540"/>
      </w:pPr>
    </w:p>
    <w:p w:rsidR="00AD7EFB" w:rsidRDefault="00AD7EFB" w:rsidP="00D84C37">
      <w:pPr>
        <w:pStyle w:val="ListParagraph"/>
        <w:ind w:left="540"/>
      </w:pPr>
    </w:p>
    <w:sectPr w:rsidR="00AD7EFB" w:rsidSect="00287E59">
      <w:headerReference w:type="default" r:id="rId17"/>
      <w:pgSz w:w="12240" w:h="15840"/>
      <w:pgMar w:top="724" w:right="540" w:bottom="270" w:left="180" w:header="360" w:footer="720" w:gutter="0"/>
      <w:pgBorders w:offsetFrom="page">
        <w:top w:val="double" w:sz="4" w:space="12" w:color="auto"/>
        <w:left w:val="double" w:sz="4" w:space="12" w:color="auto"/>
        <w:bottom w:val="double" w:sz="4" w:space="12" w:color="auto"/>
        <w:right w:val="double" w:sz="4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211" w:rsidRDefault="00317211" w:rsidP="00287E59">
      <w:pPr>
        <w:spacing w:after="0" w:line="240" w:lineRule="auto"/>
      </w:pPr>
      <w:r>
        <w:separator/>
      </w:r>
    </w:p>
  </w:endnote>
  <w:endnote w:type="continuationSeparator" w:id="0">
    <w:p w:rsidR="00317211" w:rsidRDefault="00317211" w:rsidP="0028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211" w:rsidRDefault="00317211" w:rsidP="00287E59">
      <w:pPr>
        <w:spacing w:after="0" w:line="240" w:lineRule="auto"/>
      </w:pPr>
      <w:r>
        <w:separator/>
      </w:r>
    </w:p>
  </w:footnote>
  <w:footnote w:type="continuationSeparator" w:id="0">
    <w:p w:rsidR="00317211" w:rsidRDefault="00317211" w:rsidP="0028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59" w:rsidRPr="00287E59" w:rsidRDefault="00287E59" w:rsidP="00287E59">
    <w:pPr>
      <w:pStyle w:val="Header"/>
      <w:ind w:left="180"/>
      <w:rPr>
        <w:b/>
        <w:sz w:val="28"/>
      </w:rPr>
    </w:pPr>
    <w:proofErr w:type="spellStart"/>
    <w:r>
      <w:rPr>
        <w:b/>
        <w:sz w:val="28"/>
      </w:rPr>
      <w:t>Pavan</w:t>
    </w:r>
    <w:proofErr w:type="spellEnd"/>
    <w:r>
      <w:rPr>
        <w:b/>
        <w:sz w:val="28"/>
      </w:rPr>
      <w:t xml:space="preserve"> </w:t>
    </w:r>
    <w:proofErr w:type="spellStart"/>
    <w:r>
      <w:rPr>
        <w:b/>
        <w:sz w:val="28"/>
      </w:rPr>
      <w:t>Yadav</w:t>
    </w:r>
    <w:proofErr w:type="spellEnd"/>
    <w:r w:rsidRPr="00287E59">
      <w:rPr>
        <w:b/>
        <w:sz w:val="28"/>
      </w:rPr>
      <w:ptab w:relativeTo="margin" w:alignment="center" w:leader="none"/>
    </w:r>
    <w:r>
      <w:rPr>
        <w:b/>
        <w:sz w:val="28"/>
      </w:rPr>
      <w:t>Practical 9</w:t>
    </w:r>
    <w:r w:rsidRPr="00287E59">
      <w:rPr>
        <w:b/>
        <w:sz w:val="28"/>
      </w:rPr>
      <w:ptab w:relativeTo="margin" w:alignment="right" w:leader="none"/>
    </w:r>
    <w:r>
      <w:rPr>
        <w:b/>
        <w:sz w:val="28"/>
      </w:rPr>
      <w:t>Cloud Solution Architect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D489D"/>
    <w:multiLevelType w:val="hybridMultilevel"/>
    <w:tmpl w:val="AE4E53A8"/>
    <w:lvl w:ilvl="0" w:tplc="1182E8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9DA79F4"/>
    <w:multiLevelType w:val="hybridMultilevel"/>
    <w:tmpl w:val="974EF770"/>
    <w:lvl w:ilvl="0" w:tplc="1BB8D7A2">
      <w:start w:val="7"/>
      <w:numFmt w:val="lowerLetter"/>
      <w:lvlText w:val="%1."/>
      <w:lvlJc w:val="left"/>
      <w:pPr>
        <w:ind w:left="1060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17"/>
        <w:sz w:val="18"/>
        <w:szCs w:val="18"/>
        <w:lang w:val="en-US" w:eastAsia="en-US" w:bidi="ar-SA"/>
      </w:rPr>
    </w:lvl>
    <w:lvl w:ilvl="1" w:tplc="E12ABD18">
      <w:start w:val="9"/>
      <w:numFmt w:val="decimal"/>
      <w:lvlText w:val="%2."/>
      <w:lvlJc w:val="left"/>
      <w:pPr>
        <w:ind w:left="1340" w:hanging="400"/>
        <w:jc w:val="right"/>
      </w:pPr>
      <w:rPr>
        <w:rFonts w:hint="default"/>
        <w:spacing w:val="-1"/>
        <w:w w:val="115"/>
        <w:lang w:val="en-US" w:eastAsia="en-US" w:bidi="ar-SA"/>
      </w:rPr>
    </w:lvl>
    <w:lvl w:ilvl="2" w:tplc="CB144C24">
      <w:numFmt w:val="bullet"/>
      <w:lvlText w:val="•"/>
      <w:lvlJc w:val="left"/>
      <w:pPr>
        <w:ind w:left="1858" w:hanging="400"/>
      </w:pPr>
      <w:rPr>
        <w:rFonts w:hint="default"/>
        <w:lang w:val="en-US" w:eastAsia="en-US" w:bidi="ar-SA"/>
      </w:rPr>
    </w:lvl>
    <w:lvl w:ilvl="3" w:tplc="6D5CBBF0">
      <w:numFmt w:val="bullet"/>
      <w:lvlText w:val="•"/>
      <w:lvlJc w:val="left"/>
      <w:pPr>
        <w:ind w:left="2376" w:hanging="400"/>
      </w:pPr>
      <w:rPr>
        <w:rFonts w:hint="default"/>
        <w:lang w:val="en-US" w:eastAsia="en-US" w:bidi="ar-SA"/>
      </w:rPr>
    </w:lvl>
    <w:lvl w:ilvl="4" w:tplc="58CAA86C">
      <w:numFmt w:val="bullet"/>
      <w:lvlText w:val="•"/>
      <w:lvlJc w:val="left"/>
      <w:pPr>
        <w:ind w:left="2894" w:hanging="400"/>
      </w:pPr>
      <w:rPr>
        <w:rFonts w:hint="default"/>
        <w:lang w:val="en-US" w:eastAsia="en-US" w:bidi="ar-SA"/>
      </w:rPr>
    </w:lvl>
    <w:lvl w:ilvl="5" w:tplc="ABCC330A">
      <w:numFmt w:val="bullet"/>
      <w:lvlText w:val="•"/>
      <w:lvlJc w:val="left"/>
      <w:pPr>
        <w:ind w:left="3412" w:hanging="400"/>
      </w:pPr>
      <w:rPr>
        <w:rFonts w:hint="default"/>
        <w:lang w:val="en-US" w:eastAsia="en-US" w:bidi="ar-SA"/>
      </w:rPr>
    </w:lvl>
    <w:lvl w:ilvl="6" w:tplc="7BFCD32E">
      <w:numFmt w:val="bullet"/>
      <w:lvlText w:val="•"/>
      <w:lvlJc w:val="left"/>
      <w:pPr>
        <w:ind w:left="3930" w:hanging="400"/>
      </w:pPr>
      <w:rPr>
        <w:rFonts w:hint="default"/>
        <w:lang w:val="en-US" w:eastAsia="en-US" w:bidi="ar-SA"/>
      </w:rPr>
    </w:lvl>
    <w:lvl w:ilvl="7" w:tplc="0E60BE16">
      <w:numFmt w:val="bullet"/>
      <w:lvlText w:val="•"/>
      <w:lvlJc w:val="left"/>
      <w:pPr>
        <w:ind w:left="4448" w:hanging="400"/>
      </w:pPr>
      <w:rPr>
        <w:rFonts w:hint="default"/>
        <w:lang w:val="en-US" w:eastAsia="en-US" w:bidi="ar-SA"/>
      </w:rPr>
    </w:lvl>
    <w:lvl w:ilvl="8" w:tplc="E96C8E8C">
      <w:numFmt w:val="bullet"/>
      <w:lvlText w:val="•"/>
      <w:lvlJc w:val="left"/>
      <w:pPr>
        <w:ind w:left="4966" w:hanging="4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B3"/>
    <w:rsid w:val="0015612B"/>
    <w:rsid w:val="00156719"/>
    <w:rsid w:val="0018633F"/>
    <w:rsid w:val="001A1CF3"/>
    <w:rsid w:val="001B1691"/>
    <w:rsid w:val="001F51BB"/>
    <w:rsid w:val="002054D3"/>
    <w:rsid w:val="002839E2"/>
    <w:rsid w:val="00287E59"/>
    <w:rsid w:val="002A56CF"/>
    <w:rsid w:val="00317211"/>
    <w:rsid w:val="003A24A6"/>
    <w:rsid w:val="004471C3"/>
    <w:rsid w:val="00466A7D"/>
    <w:rsid w:val="00484236"/>
    <w:rsid w:val="004D27B6"/>
    <w:rsid w:val="004E1513"/>
    <w:rsid w:val="00545DA2"/>
    <w:rsid w:val="00580BE2"/>
    <w:rsid w:val="00584C09"/>
    <w:rsid w:val="005A6AD6"/>
    <w:rsid w:val="005B47F2"/>
    <w:rsid w:val="005F71F3"/>
    <w:rsid w:val="00641461"/>
    <w:rsid w:val="00704CDB"/>
    <w:rsid w:val="007B6F03"/>
    <w:rsid w:val="008252D8"/>
    <w:rsid w:val="00842D3B"/>
    <w:rsid w:val="008A39FA"/>
    <w:rsid w:val="00913302"/>
    <w:rsid w:val="00973B9A"/>
    <w:rsid w:val="00974324"/>
    <w:rsid w:val="009A694D"/>
    <w:rsid w:val="009B7802"/>
    <w:rsid w:val="009C6D3E"/>
    <w:rsid w:val="009D2FE0"/>
    <w:rsid w:val="009D452B"/>
    <w:rsid w:val="009D73AF"/>
    <w:rsid w:val="009F315E"/>
    <w:rsid w:val="009F489F"/>
    <w:rsid w:val="00A91755"/>
    <w:rsid w:val="00AD7EFB"/>
    <w:rsid w:val="00AF67F3"/>
    <w:rsid w:val="00B017EE"/>
    <w:rsid w:val="00B66BB3"/>
    <w:rsid w:val="00B90CD1"/>
    <w:rsid w:val="00BE2C22"/>
    <w:rsid w:val="00C42EF8"/>
    <w:rsid w:val="00C57F44"/>
    <w:rsid w:val="00C67DF7"/>
    <w:rsid w:val="00C710C0"/>
    <w:rsid w:val="00D4613F"/>
    <w:rsid w:val="00D84C37"/>
    <w:rsid w:val="00EA7BC2"/>
    <w:rsid w:val="00EC67B1"/>
    <w:rsid w:val="00EE0CA0"/>
    <w:rsid w:val="00F13C5F"/>
    <w:rsid w:val="00F15D96"/>
    <w:rsid w:val="00F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59"/>
  </w:style>
  <w:style w:type="paragraph" w:styleId="Footer">
    <w:name w:val="footer"/>
    <w:basedOn w:val="Normal"/>
    <w:link w:val="FooterChar"/>
    <w:uiPriority w:val="99"/>
    <w:unhideWhenUsed/>
    <w:rsid w:val="0028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59"/>
  </w:style>
  <w:style w:type="paragraph" w:styleId="BalloonText">
    <w:name w:val="Balloon Text"/>
    <w:basedOn w:val="Normal"/>
    <w:link w:val="BalloonTextChar"/>
    <w:uiPriority w:val="99"/>
    <w:semiHidden/>
    <w:unhideWhenUsed/>
    <w:rsid w:val="0028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CF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E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59"/>
  </w:style>
  <w:style w:type="paragraph" w:styleId="Footer">
    <w:name w:val="footer"/>
    <w:basedOn w:val="Normal"/>
    <w:link w:val="FooterChar"/>
    <w:uiPriority w:val="99"/>
    <w:unhideWhenUsed/>
    <w:rsid w:val="0028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59"/>
  </w:style>
  <w:style w:type="paragraph" w:styleId="BalloonText">
    <w:name w:val="Balloon Text"/>
    <w:basedOn w:val="Normal"/>
    <w:link w:val="BalloonTextChar"/>
    <w:uiPriority w:val="99"/>
    <w:semiHidden/>
    <w:unhideWhenUsed/>
    <w:rsid w:val="0028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CF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E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workdocs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217</cp:revision>
  <dcterms:created xsi:type="dcterms:W3CDTF">2022-08-23T05:43:00Z</dcterms:created>
  <dcterms:modified xsi:type="dcterms:W3CDTF">2022-08-23T06:34:00Z</dcterms:modified>
</cp:coreProperties>
</file>