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F3628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9865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75011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proofErr w:type="gramStart"/>
      <w:r>
        <w:rPr>
          <w:rFonts w:ascii="Calibri" w:eastAsia="Times New Roman" w:hAnsi="Calibri" w:cs="Calibri"/>
          <w:color w:val="000000"/>
        </w:rPr>
        <w:t>can be seen as</w:t>
      </w:r>
      <w:proofErr w:type="gramEnd"/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53E8B" id="Rectangle 16" o:spid="_x0000_s1026" style="position:absolute;margin-left:96.2pt;margin-top:15.2pt;width:182.7pt;height:3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75012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 the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C4BBC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75013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33225A">
      <w:pPr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33225A">
      <w:pPr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4A45F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AE3582" w:rsidRDefault="00AE3582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Pr="00AE3582" w:rsidRDefault="00500E5C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Default="00F47330" w:rsidP="00F47330">
      <w:pPr>
        <w:rPr>
          <w:rFonts w:cstheme="minorHAnsi"/>
        </w:rPr>
      </w:pPr>
      <w:r>
        <w:rPr>
          <w:rFonts w:cstheme="minorHAnsi"/>
        </w:rPr>
        <w:t>On the development set, the results look at the following way:</w:t>
      </w:r>
    </w:p>
    <w:p w:rsidR="003A288C" w:rsidRDefault="003A288C" w:rsidP="00F47330">
      <w:pPr>
        <w:rPr>
          <w:rFonts w:cstheme="minorHAnsi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4F160C" w:rsidRDefault="00856615" w:rsidP="004F160C">
      <w:pPr>
        <w:rPr>
          <w:rFonts w:cstheme="minorHAnsi"/>
          <w:b/>
          <w:sz w:val="20"/>
          <w:szCs w:val="20"/>
        </w:rPr>
      </w:pPr>
      <w:r w:rsidRPr="004F160C">
        <w:rPr>
          <w:rFonts w:cstheme="minorHAnsi"/>
          <w:b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4F160C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  <w:r>
        <w:rPr>
          <w:rFonts w:cstheme="minorHAnsi"/>
        </w:rPr>
        <w:t>Implementation</w:t>
      </w: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lastRenderedPageBreak/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noProof/>
        </w:rPr>
        <w:t>The s</w:t>
      </w:r>
      <w:r w:rsidR="006A4E6F" w:rsidRPr="00E57CF0">
        <w:rPr>
          <w:rFonts w:cstheme="minorHAnsi"/>
          <w:noProof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6A4E6F" w:rsidRPr="006A4E6F">
        <w:rPr>
          <w:rFonts w:cstheme="minorHAnsi"/>
        </w:rPr>
        <w:t>language</w:t>
      </w:r>
      <w:bookmarkStart w:id="0" w:name="_GoBack"/>
      <w:bookmarkEnd w:id="0"/>
      <w:r w:rsidR="006A4E6F" w:rsidRPr="006A4E6F">
        <w:rPr>
          <w:rFonts w:cstheme="minorHAnsi"/>
        </w:rPr>
        <w:t xml:space="preserve"> texts.</w:t>
      </w:r>
    </w:p>
    <w:p w:rsidR="0082777E" w:rsidRDefault="0082777E" w:rsidP="005E2B07">
      <w:pPr>
        <w:rPr>
          <w:rFonts w:cstheme="minorHAnsi"/>
        </w:rPr>
      </w:pPr>
    </w:p>
    <w:p w:rsidR="0082777E" w:rsidRPr="005C32B0" w:rsidRDefault="0082777E" w:rsidP="005C32B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5D4098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5D4098">
        <w:rPr>
          <w:rFonts w:cstheme="minorHAnsi"/>
        </w:rPr>
        <w:t xml:space="preserve"> </w:t>
      </w:r>
      <w:r w:rsidRPr="00A474A5">
        <w:rPr>
          <w:rFonts w:cstheme="minorHAnsi"/>
        </w:rPr>
        <w:t>for the given ‘test_input.xml’.</w:t>
      </w:r>
    </w:p>
    <w:p w:rsidR="00A474A5" w:rsidRDefault="00A474A5" w:rsidP="00E6110C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A474A5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</w:p>
    <w:p w:rsidR="0082777E" w:rsidRPr="005E2B07" w:rsidRDefault="0082777E" w:rsidP="005E2B07">
      <w:pPr>
        <w:rPr>
          <w:rFonts w:cstheme="minorHAnsi"/>
        </w:rPr>
      </w:pPr>
    </w:p>
    <w:sectPr w:rsidR="0082777E" w:rsidRPr="005E2B07" w:rsidSect="000F04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D17" w:rsidRDefault="004D3D17" w:rsidP="0069109C">
      <w:pPr>
        <w:spacing w:after="0" w:line="240" w:lineRule="auto"/>
      </w:pPr>
      <w:r>
        <w:separator/>
      </w:r>
    </w:p>
  </w:endnote>
  <w:endnote w:type="continuationSeparator" w:id="0">
    <w:p w:rsidR="004D3D17" w:rsidRDefault="004D3D17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D17" w:rsidRDefault="004D3D17" w:rsidP="0069109C">
      <w:pPr>
        <w:spacing w:after="0" w:line="240" w:lineRule="auto"/>
      </w:pPr>
      <w:r>
        <w:separator/>
      </w:r>
    </w:p>
  </w:footnote>
  <w:footnote w:type="continuationSeparator" w:id="0">
    <w:p w:rsidR="004D3D17" w:rsidRDefault="004D3D17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47B41"/>
    <w:rsid w:val="00165F84"/>
    <w:rsid w:val="001814AC"/>
    <w:rsid w:val="001C6D0D"/>
    <w:rsid w:val="001D2714"/>
    <w:rsid w:val="001D6A77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3225A"/>
    <w:rsid w:val="00347464"/>
    <w:rsid w:val="003555A4"/>
    <w:rsid w:val="00375B98"/>
    <w:rsid w:val="00391A9E"/>
    <w:rsid w:val="003A1F99"/>
    <w:rsid w:val="003A288C"/>
    <w:rsid w:val="003B6C20"/>
    <w:rsid w:val="003C31BE"/>
    <w:rsid w:val="003C723B"/>
    <w:rsid w:val="003E124B"/>
    <w:rsid w:val="003E5B4D"/>
    <w:rsid w:val="003F4326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3D17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32B0"/>
    <w:rsid w:val="005C799E"/>
    <w:rsid w:val="005D4098"/>
    <w:rsid w:val="005E2B07"/>
    <w:rsid w:val="005F2960"/>
    <w:rsid w:val="005F38A8"/>
    <w:rsid w:val="005F3E1C"/>
    <w:rsid w:val="0061769B"/>
    <w:rsid w:val="0063101B"/>
    <w:rsid w:val="00634232"/>
    <w:rsid w:val="0063431D"/>
    <w:rsid w:val="00654187"/>
    <w:rsid w:val="0067268E"/>
    <w:rsid w:val="0069109C"/>
    <w:rsid w:val="006A4E6F"/>
    <w:rsid w:val="006D2D7B"/>
    <w:rsid w:val="006E6432"/>
    <w:rsid w:val="006E660D"/>
    <w:rsid w:val="006F5192"/>
    <w:rsid w:val="00705E9A"/>
    <w:rsid w:val="00733324"/>
    <w:rsid w:val="00733BC6"/>
    <w:rsid w:val="00737A0E"/>
    <w:rsid w:val="007500FB"/>
    <w:rsid w:val="00753C1B"/>
    <w:rsid w:val="007904B4"/>
    <w:rsid w:val="0079187E"/>
    <w:rsid w:val="007B55DB"/>
    <w:rsid w:val="007C550A"/>
    <w:rsid w:val="007F3628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465D4"/>
    <w:rsid w:val="00947513"/>
    <w:rsid w:val="00947514"/>
    <w:rsid w:val="00955042"/>
    <w:rsid w:val="00955A71"/>
    <w:rsid w:val="009648CF"/>
    <w:rsid w:val="009665CD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11B14"/>
    <w:rsid w:val="00B165FC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8489C"/>
    <w:rsid w:val="00CC11C4"/>
    <w:rsid w:val="00D11556"/>
    <w:rsid w:val="00D11C6D"/>
    <w:rsid w:val="00D135B8"/>
    <w:rsid w:val="00D2258C"/>
    <w:rsid w:val="00D24FC4"/>
    <w:rsid w:val="00D32C73"/>
    <w:rsid w:val="00D46C19"/>
    <w:rsid w:val="00D47E46"/>
    <w:rsid w:val="00D52BC0"/>
    <w:rsid w:val="00D857CC"/>
    <w:rsid w:val="00D86834"/>
    <w:rsid w:val="00DE70F1"/>
    <w:rsid w:val="00E03BC8"/>
    <w:rsid w:val="00E07E15"/>
    <w:rsid w:val="00E1543F"/>
    <w:rsid w:val="00E20339"/>
    <w:rsid w:val="00E57CF0"/>
    <w:rsid w:val="00E7289D"/>
    <w:rsid w:val="00E834C7"/>
    <w:rsid w:val="00E9181D"/>
    <w:rsid w:val="00EB613D"/>
    <w:rsid w:val="00ED51E3"/>
    <w:rsid w:val="00EE55B5"/>
    <w:rsid w:val="00F0630B"/>
    <w:rsid w:val="00F3696E"/>
    <w:rsid w:val="00F452C4"/>
    <w:rsid w:val="00F47330"/>
    <w:rsid w:val="00F7787F"/>
    <w:rsid w:val="00F84507"/>
    <w:rsid w:val="00F91280"/>
    <w:rsid w:val="00FB664E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84D51-4C34-4D61-A668-99F1B0A2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204</cp:revision>
  <dcterms:created xsi:type="dcterms:W3CDTF">2017-04-28T13:15:00Z</dcterms:created>
  <dcterms:modified xsi:type="dcterms:W3CDTF">2017-04-29T10:42:00Z</dcterms:modified>
</cp:coreProperties>
</file>