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REAL-TIME AI TRADING RISK ENGINE</w:t>
      </w:r>
    </w:p>
    <w:p>
      <w:pPr>
        <w:jc w:val="center"/>
      </w:pPr>
      <w:r>
        <w:rPr>
          <w:i/>
          <w:sz w:val="24"/>
        </w:rPr>
        <w:t>Complete Local Proof of Concept — Build, Run, Test, Understand</w:t>
      </w:r>
    </w:p>
    <w:p>
      <w:pPr>
        <w:jc w:val="center"/>
      </w:pPr>
      <w:r>
        <w:rPr>
          <w:b/>
        </w:rPr>
        <w:t>Educational portfolio project • Synthetic data • Simulated execution only</w:t>
      </w:r>
    </w:p>
    <w:p>
      <w:pPr>
        <w:pStyle w:val="Heading1"/>
      </w:pPr>
      <w:r>
        <w:t>1. Executive summary</w:t>
      </w:r>
    </w:p>
    <w:p>
      <w:r>
        <w:t>This project is a local risk-control service placed conceptually between a trading strategy/order generator and an execution system. It checks orders against explicit limits, optionally flags unusual orders with a machine-learning model, records decisions in a relational database, and allows a user to simulate fills and inspect portfolio/stress-test outputs. It is designed to demonstrate Python, REST APIs, SQL, data processing, testing, and a path toward event streaming.</w:t>
      </w:r>
    </w:p>
    <w:p>
      <w:r>
        <w:t>Important boundary: the project uses synthetic data and simulated fills only. It does not connect to a broker or exchange, send real orders, manage real money, or provide investment advice.</w:t>
      </w:r>
    </w:p>
    <w:p>
      <w:pPr>
        <w:pStyle w:val="Heading1"/>
      </w:pPr>
      <w:r>
        <w:t>2. Goals and requirements covered</w:t>
      </w:r>
    </w:p>
    <w:p>
      <w:pPr>
        <w:pStyle w:val="ListBullet"/>
      </w:pPr>
      <w:r>
        <w:t>Run locally on Windows using VS Code/PowerShell; no cloud account required.</w:t>
      </w:r>
    </w:p>
    <w:p>
      <w:pPr>
        <w:pStyle w:val="ListBullet"/>
      </w:pPr>
      <w:r>
        <w:t>Use dummy CSV and Excel files for repeatable batch testing.</w:t>
      </w:r>
    </w:p>
    <w:p>
      <w:pPr>
        <w:pStyle w:val="ListBullet"/>
      </w:pPr>
      <w:r>
        <w:t>Expose REST APIs so a person or future service can submit and inspect test orders.</w:t>
      </w:r>
    </w:p>
    <w:p>
      <w:pPr>
        <w:pStyle w:val="ListBullet"/>
      </w:pPr>
      <w:r>
        <w:t>Use SQL and SQLite to persist order decisions, positions, audit events, app state, and batch results.</w:t>
      </w:r>
    </w:p>
    <w:p>
      <w:pPr>
        <w:pStyle w:val="ListBullet"/>
      </w:pPr>
      <w:r>
        <w:t>Apply deterministic risk checks before an illustrative ML anomaly flag.</w:t>
      </w:r>
    </w:p>
    <w:p>
      <w:pPr>
        <w:pStyle w:val="ListBullet"/>
      </w:pPr>
      <w:r>
        <w:t>Support single-order and batch evaluation, CSV result export, simulated fill/cancel, portfolio view, stress testing, and audit inspection.</w:t>
      </w:r>
    </w:p>
    <w:p>
      <w:pPr>
        <w:pStyle w:val="ListBullet"/>
      </w:pPr>
      <w:r>
        <w:t>Keep Kafka optional so the basic proof of concept remains simple to install.</w:t>
      </w:r>
    </w:p>
    <w:p>
      <w:pPr>
        <w:pStyle w:val="ListBullet"/>
      </w:pPr>
      <w:r>
        <w:t>Include automated tests and a Word explanation of every major component and its limitations.</w:t>
      </w:r>
    </w:p>
    <w:p>
      <w:pPr>
        <w:pStyle w:val="Heading1"/>
      </w:pPr>
      <w:r>
        <w:t>3. Architecture and flow</w:t>
      </w:r>
    </w:p>
    <w:p>
      <w:pPr>
        <w:spacing w:after="120"/>
        <w:ind w:left="288"/>
      </w:pPr>
      <w:r>
        <w:rPr>
          <w:rFonts w:ascii="Consolas" w:hAnsi="Consolas"/>
          <w:color w:val="2D2D2D"/>
          <w:sz w:val="16"/>
        </w:rPr>
        <w:t>Synthetic CSV / Excel or API request</w:t>
        <w:br/>
        <w:t xml:space="preserve">        ↓</w:t>
        <w:br/>
        <w:t>FastAPI endpoint + Pydantic request validation</w:t>
        <w:br/>
        <w:t xml:space="preserve">        ↓</w:t>
        <w:br/>
        <w:t>Deterministic risk rules (hard limits)</w:t>
        <w:br/>
        <w:t xml:space="preserve">        ↓</w:t>
        <w:br/>
        <w:t>Isolation Forest anomaly flag (advisory only)</w:t>
        <w:br/>
        <w:t xml:space="preserve">        ↓</w:t>
        <w:br/>
        <w:t>Decision + reason → SQLite order history + audit trail</w:t>
        <w:br/>
        <w:t xml:space="preserve">        ↓</w:t>
        <w:br/>
        <w:t>Optional simulated fill/cancel → portfolio state</w:t>
        <w:br/>
        <w:t xml:space="preserve">        ↓</w:t>
        <w:br/>
        <w:t>Portfolio view / stress test / SQL reporting</w:t>
        <w:br/>
        <w:t xml:space="preserve">        ↘ Optional Kafka decision event</w:t>
      </w:r>
    </w:p>
    <w:p>
      <w:r>
        <w:t>Interpretation: validation checks whether the request is well-formed; deterministic rules check whether it fits the configured risk limits; the anomaly model asks whether the order looks unusual relative to a synthetic baseline. A hard-limit breach must not be overridden by an ML result. An anomaly is not automatically proof of a bad order; the policy may flag or hold it for review.</w:t>
      </w:r>
    </w:p>
    <w:p>
      <w:pPr>
        <w:pStyle w:val="Heading1"/>
      </w:pPr>
      <w:r>
        <w:t>4. Technology stack — what each tool does and why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888"/>
          </w:tcPr>
          <w:p>
            <w:r>
              <w:rPr>
                <w:b/>
              </w:rPr>
              <w:t>Purpose in this POC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is used</w:t>
            </w:r>
          </w:p>
        </w:tc>
      </w:tr>
      <w:tr>
        <w:tc>
          <w:tcPr>
            <w:tcW w:type="dxa" w:w="2160"/>
            <w:vAlign w:val="center"/>
          </w:tcPr>
          <w:p>
            <w:r>
              <w:t>Python</w:t>
            </w:r>
          </w:p>
        </w:tc>
        <w:tc>
          <w:tcPr>
            <w:tcW w:type="dxa" w:w="3888"/>
            <w:vAlign w:val="center"/>
          </w:tcPr>
          <w:p>
            <w:r>
              <w:t>Implements API, risk logic, model, persistence orchestration.</w:t>
            </w:r>
          </w:p>
        </w:tc>
        <w:tc>
          <w:tcPr>
            <w:tcW w:type="dxa" w:w="4320"/>
            <w:vAlign w:val="center"/>
          </w:tcPr>
          <w:p>
            <w:r>
              <w:t>Readable ecosystem and strong fit for data engineering prototypes.</w:t>
            </w:r>
          </w:p>
        </w:tc>
      </w:tr>
      <w:tr>
        <w:tc>
          <w:tcPr>
            <w:tcW w:type="dxa" w:w="2160"/>
            <w:vAlign w:val="center"/>
          </w:tcPr>
          <w:p>
            <w:r>
              <w:t>FastAPI</w:t>
            </w:r>
          </w:p>
        </w:tc>
        <w:tc>
          <w:tcPr>
            <w:tcW w:type="dxa" w:w="3888"/>
            <w:vAlign w:val="center"/>
          </w:tcPr>
          <w:p>
            <w:r>
              <w:t>Exposes HTTP endpoints and generates Swagger/OpenAPI docs.</w:t>
            </w:r>
          </w:p>
        </w:tc>
        <w:tc>
          <w:tcPr>
            <w:tcW w:type="dxa" w:w="4320"/>
            <w:vAlign w:val="center"/>
          </w:tcPr>
          <w:p>
            <w:r>
              <w:t>Easy local testing from a browser and reusable API contract.</w:t>
            </w:r>
          </w:p>
        </w:tc>
      </w:tr>
      <w:tr>
        <w:tc>
          <w:tcPr>
            <w:tcW w:type="dxa" w:w="2160"/>
            <w:vAlign w:val="center"/>
          </w:tcPr>
          <w:p>
            <w:r>
              <w:t>Pydantic</w:t>
            </w:r>
          </w:p>
        </w:tc>
        <w:tc>
          <w:tcPr>
            <w:tcW w:type="dxa" w:w="3888"/>
            <w:vAlign w:val="center"/>
          </w:tcPr>
          <w:p>
            <w:r>
              <w:t>Validates request fields and types.</w:t>
            </w:r>
          </w:p>
        </w:tc>
        <w:tc>
          <w:tcPr>
            <w:tcW w:type="dxa" w:w="4320"/>
            <w:vAlign w:val="center"/>
          </w:tcPr>
          <w:p>
            <w:r>
              <w:t>Rejects malformed inputs before risk logic runs.</w:t>
            </w:r>
          </w:p>
        </w:tc>
      </w:tr>
      <w:tr>
        <w:tc>
          <w:tcPr>
            <w:tcW w:type="dxa" w:w="2160"/>
            <w:vAlign w:val="center"/>
          </w:tcPr>
          <w:p>
            <w:r>
              <w:t>pandas</w:t>
            </w:r>
          </w:p>
        </w:tc>
        <w:tc>
          <w:tcPr>
            <w:tcW w:type="dxa" w:w="3888"/>
            <w:vAlign w:val="center"/>
          </w:tcPr>
          <w:p>
            <w:r>
              <w:t>Reads CSV/Excel batch files and prepares result data.</w:t>
            </w:r>
          </w:p>
        </w:tc>
        <w:tc>
          <w:tcPr>
            <w:tcW w:type="dxa" w:w="4320"/>
            <w:vAlign w:val="center"/>
          </w:tcPr>
          <w:p>
            <w:r>
              <w:t>Convenient tabular-data handling.</w:t>
            </w:r>
          </w:p>
        </w:tc>
      </w:tr>
      <w:tr>
        <w:tc>
          <w:tcPr>
            <w:tcW w:type="dxa" w:w="2160"/>
            <w:vAlign w:val="center"/>
          </w:tcPr>
          <w:p>
            <w:r>
              <w:t>SQLite</w:t>
            </w:r>
          </w:p>
        </w:tc>
        <w:tc>
          <w:tcPr>
            <w:tcW w:type="dxa" w:w="3888"/>
            <w:vAlign w:val="center"/>
          </w:tcPr>
          <w:p>
            <w:r>
              <w:t>Stores orders, positions, audit events, app state, batch results.</w:t>
            </w:r>
          </w:p>
        </w:tc>
        <w:tc>
          <w:tcPr>
            <w:tcW w:type="dxa" w:w="4320"/>
            <w:vAlign w:val="center"/>
          </w:tcPr>
          <w:p>
            <w:r>
              <w:t>A relational database available as a local file; no server setup.</w:t>
            </w:r>
          </w:p>
        </w:tc>
      </w:tr>
      <w:tr>
        <w:tc>
          <w:tcPr>
            <w:tcW w:type="dxa" w:w="2160"/>
            <w:vAlign w:val="center"/>
          </w:tcPr>
          <w:p>
            <w:r>
              <w:t>SQL</w:t>
            </w:r>
          </w:p>
        </w:tc>
        <w:tc>
          <w:tcPr>
            <w:tcW w:type="dxa" w:w="3888"/>
            <w:vAlign w:val="center"/>
          </w:tcPr>
          <w:p>
            <w:r>
              <w:t>Queries decisions and audit history.</w:t>
            </w:r>
          </w:p>
        </w:tc>
        <w:tc>
          <w:tcPr>
            <w:tcW w:type="dxa" w:w="4320"/>
            <w:vAlign w:val="center"/>
          </w:tcPr>
          <w:p>
            <w:r>
              <w:t>Demonstrates aggregation, filtering, grouping, and investigation.</w:t>
            </w:r>
          </w:p>
        </w:tc>
      </w:tr>
      <w:tr>
        <w:tc>
          <w:tcPr>
            <w:tcW w:type="dxa" w:w="2160"/>
            <w:vAlign w:val="center"/>
          </w:tcPr>
          <w:p>
            <w:r>
              <w:t>NumPy</w:t>
            </w:r>
          </w:p>
        </w:tc>
        <w:tc>
          <w:tcPr>
            <w:tcW w:type="dxa" w:w="3888"/>
            <w:vAlign w:val="center"/>
          </w:tcPr>
          <w:p>
            <w:r>
              <w:t>Supports numerical feature preparation.</w:t>
            </w:r>
          </w:p>
        </w:tc>
        <w:tc>
          <w:tcPr>
            <w:tcW w:type="dxa" w:w="4320"/>
            <w:vAlign w:val="center"/>
          </w:tcPr>
          <w:p>
            <w:r>
              <w:t>Common numeric foundation for the ML stack.</w:t>
            </w:r>
          </w:p>
        </w:tc>
      </w:tr>
      <w:tr>
        <w:tc>
          <w:tcPr>
            <w:tcW w:type="dxa" w:w="2160"/>
            <w:vAlign w:val="center"/>
          </w:tcPr>
          <w:p>
            <w:r>
              <w:t>scikit-learn Isolation Forest</w:t>
            </w:r>
          </w:p>
        </w:tc>
        <w:tc>
          <w:tcPr>
            <w:tcW w:type="dxa" w:w="3888"/>
            <w:vAlign w:val="center"/>
          </w:tcPr>
          <w:p>
            <w:r>
              <w:t>Produces an illustrative anomaly flag.</w:t>
            </w:r>
          </w:p>
        </w:tc>
        <w:tc>
          <w:tcPr>
            <w:tcW w:type="dxa" w:w="4320"/>
            <w:vAlign w:val="center"/>
          </w:tcPr>
          <w:p>
            <w:r>
              <w:t>Unsupervised approach when labeled examples are unavailable; needs real calibration before operational use.</w:t>
            </w:r>
          </w:p>
        </w:tc>
      </w:tr>
      <w:tr>
        <w:tc>
          <w:tcPr>
            <w:tcW w:type="dxa" w:w="2160"/>
            <w:vAlign w:val="center"/>
          </w:tcPr>
          <w:p>
            <w:r>
              <w:t>pytest</w:t>
            </w:r>
          </w:p>
        </w:tc>
        <w:tc>
          <w:tcPr>
            <w:tcW w:type="dxa" w:w="3888"/>
            <w:vAlign w:val="center"/>
          </w:tcPr>
          <w:p>
            <w:r>
              <w:t>Runs automated checks.</w:t>
            </w:r>
          </w:p>
        </w:tc>
        <w:tc>
          <w:tcPr>
            <w:tcW w:type="dxa" w:w="4320"/>
            <w:vAlign w:val="center"/>
          </w:tcPr>
          <w:p>
            <w:r>
              <w:t>Makes behavior repeatable and catches regressions.</w:t>
            </w:r>
          </w:p>
        </w:tc>
      </w:tr>
      <w:tr>
        <w:tc>
          <w:tcPr>
            <w:tcW w:type="dxa" w:w="2160"/>
            <w:vAlign w:val="center"/>
          </w:tcPr>
          <w:p>
            <w:r>
              <w:t>Kafka (optional)</w:t>
            </w:r>
          </w:p>
        </w:tc>
        <w:tc>
          <w:tcPr>
            <w:tcW w:type="dxa" w:w="3888"/>
            <w:vAlign w:val="center"/>
          </w:tcPr>
          <w:p>
            <w:r>
              <w:t>Publishes decision events for separate consumers.</w:t>
            </w:r>
          </w:p>
        </w:tc>
        <w:tc>
          <w:tcPr>
            <w:tcW w:type="dxa" w:w="4320"/>
            <w:vAlign w:val="center"/>
          </w:tcPr>
          <w:p>
            <w:r>
              <w:t>Useful when independent consumers, replay, or asynchronous processing become requirements.</w:t>
            </w:r>
          </w:p>
        </w:tc>
      </w:tr>
      <w:tr>
        <w:tc>
          <w:tcPr>
            <w:tcW w:type="dxa" w:w="2160"/>
            <w:vAlign w:val="center"/>
          </w:tcPr>
          <w:p>
            <w:r>
              <w:t>Docker Compose (optional)</w:t>
            </w:r>
          </w:p>
        </w:tc>
        <w:tc>
          <w:tcPr>
            <w:tcW w:type="dxa" w:w="3888"/>
            <w:vAlign w:val="center"/>
          </w:tcPr>
          <w:p>
            <w:r>
              <w:t>Runs the optional local Kafka services.</w:t>
            </w:r>
          </w:p>
        </w:tc>
        <w:tc>
          <w:tcPr>
            <w:tcW w:type="dxa" w:w="4320"/>
            <w:vAlign w:val="center"/>
          </w:tcPr>
          <w:p>
            <w:r>
              <w:t>Reproducible local infrastructure without installing each service manually.</w:t>
            </w:r>
          </w:p>
        </w:tc>
      </w:tr>
      <w:tr>
        <w:tc>
          <w:tcPr>
            <w:tcW w:type="dxa" w:w="2160"/>
            <w:vAlign w:val="center"/>
          </w:tcPr>
          <w:p>
            <w:r>
              <w:t>PostgreSQL (future)</w:t>
            </w:r>
          </w:p>
        </w:tc>
        <w:tc>
          <w:tcPr>
            <w:tcW w:type="dxa" w:w="3888"/>
            <w:vAlign w:val="center"/>
          </w:tcPr>
          <w:p>
            <w:r>
              <w:t>Potential replacement for SQLite when concurrency and multi-user access matter.</w:t>
            </w:r>
          </w:p>
        </w:tc>
        <w:tc>
          <w:tcPr>
            <w:tcW w:type="dxa" w:w="4320"/>
            <w:vAlign w:val="center"/>
          </w:tcPr>
          <w:p>
            <w:r>
              <w:t>A stronger server database foundation for a later version.</w:t>
            </w:r>
          </w:p>
        </w:tc>
      </w:tr>
    </w:tbl>
    <w:p/>
    <w:p>
      <w:pPr>
        <w:pStyle w:val="Heading1"/>
      </w:pPr>
      <w:r>
        <w:t>5. Local installation and run instructions</w:t>
      </w:r>
    </w:p>
    <w:p>
      <w:r>
        <w:t>Requirements: Windows, Python 3.10+ recommended, PowerShell or Command Prompt, and VS Code if desired.</w:t>
      </w:r>
    </w:p>
    <w:p>
      <w:pPr>
        <w:spacing w:after="120"/>
        <w:ind w:left="288"/>
      </w:pPr>
      <w:r>
        <w:rPr>
          <w:rFonts w:ascii="Consolas" w:hAnsi="Consolas"/>
          <w:color w:val="2D2D2D"/>
          <w:sz w:val="16"/>
        </w:rPr>
        <w:t># Open a terminal in the extracted project directory</w:t>
        <w:br/>
        <w:t>py -m venv .venv</w:t>
        <w:br/>
        <w:t>.\.venv\Scripts\Activate.ps1</w:t>
        <w:br/>
        <w:t>pip install -r requirements.txt</w:t>
        <w:br/>
        <w:t>Copy-Item .env.example .env</w:t>
        <w:br/>
        <w:t>uvicorn app.main:app --reload</w:t>
      </w:r>
    </w:p>
    <w:p>
      <w:r>
        <w:t>Open http://127.0.0.1:8000/docs to try the endpoints interactively. Stop the API with Ctrl+C.</w:t>
      </w:r>
    </w:p>
    <w:p>
      <w:r>
        <w:t>If PowerShell blocks activation, use Command Prompt and run `.venv\Scripts\activate.bat`. The server and database are local to the machine.</w:t>
      </w:r>
    </w:p>
    <w:p>
      <w:pPr>
        <w:pStyle w:val="Heading2"/>
      </w:pPr>
      <w:r>
        <w:t>Automated tests</w:t>
      </w:r>
    </w:p>
    <w:p>
      <w:pPr>
        <w:spacing w:after="120"/>
        <w:ind w:left="288"/>
      </w:pPr>
      <w:r>
        <w:rPr>
          <w:rFonts w:ascii="Consolas" w:hAnsi="Consolas"/>
          <w:color w:val="2D2D2D"/>
          <w:sz w:val="16"/>
        </w:rPr>
        <w:t>pytest -q</w:t>
      </w:r>
    </w:p>
    <w:p>
      <w:r>
        <w:t>The packaged test run reports 5 passed. These tests cover selected behavior, not production readiness.</w:t>
      </w:r>
    </w:p>
    <w:p>
      <w:pPr>
        <w:pStyle w:val="Heading1"/>
      </w:pPr>
      <w:r>
        <w:t>6. CSV and Excel testing</w:t>
      </w:r>
    </w:p>
    <w:p>
      <w:r>
        <w:t>The batch API expects `symbol`, `side`, `quantity`, and `price`; `order_id` is optional. Side values should be BUY or SELL. Sample files are provided at `data/orders_sample.csv` and `data/orders_sample.xlsx`.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752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6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304"/>
            <w:vAlign w:val="center"/>
          </w:tcPr>
          <w:p>
            <w:r>
              <w:t>order_id (optional)</w:t>
            </w:r>
          </w:p>
        </w:tc>
        <w:tc>
          <w:tcPr>
            <w:tcW w:type="dxa" w:w="4752"/>
            <w:vAlign w:val="center"/>
          </w:tcPr>
          <w:p>
            <w:r>
              <w:t>Caller-provided identifier for the sample order.</w:t>
            </w:r>
          </w:p>
        </w:tc>
        <w:tc>
          <w:tcPr>
            <w:tcW w:type="dxa" w:w="3168"/>
            <w:vAlign w:val="center"/>
          </w:tcPr>
          <w:p>
            <w:r>
              <w:t>DEMO-1001</w:t>
            </w:r>
          </w:p>
        </w:tc>
      </w:tr>
      <w:tr>
        <w:tc>
          <w:tcPr>
            <w:tcW w:type="dxa" w:w="2304"/>
            <w:vAlign w:val="center"/>
          </w:tcPr>
          <w:p>
            <w:r>
              <w:t>symbol</w:t>
            </w:r>
          </w:p>
        </w:tc>
        <w:tc>
          <w:tcPr>
            <w:tcW w:type="dxa" w:w="4752"/>
            <w:vAlign w:val="center"/>
          </w:tcPr>
          <w:p>
            <w:r>
              <w:t>Instrument ticker/identifier.</w:t>
            </w:r>
          </w:p>
        </w:tc>
        <w:tc>
          <w:tcPr>
            <w:tcW w:type="dxa" w:w="3168"/>
            <w:vAlign w:val="center"/>
          </w:tcPr>
          <w:p>
            <w:r>
              <w:t>AAPL</w:t>
            </w:r>
          </w:p>
        </w:tc>
      </w:tr>
      <w:tr>
        <w:tc>
          <w:tcPr>
            <w:tcW w:type="dxa" w:w="2304"/>
            <w:vAlign w:val="center"/>
          </w:tcPr>
          <w:p>
            <w:r>
              <w:t>side</w:t>
            </w:r>
          </w:p>
        </w:tc>
        <w:tc>
          <w:tcPr>
            <w:tcW w:type="dxa" w:w="4752"/>
            <w:vAlign w:val="center"/>
          </w:tcPr>
          <w:p>
            <w:r>
              <w:t>Direction of the synthetic order.</w:t>
            </w:r>
          </w:p>
        </w:tc>
        <w:tc>
          <w:tcPr>
            <w:tcW w:type="dxa" w:w="3168"/>
            <w:vAlign w:val="center"/>
          </w:tcPr>
          <w:p>
            <w:r>
              <w:t>BUY</w:t>
            </w:r>
          </w:p>
        </w:tc>
      </w:tr>
      <w:tr>
        <w:tc>
          <w:tcPr>
            <w:tcW w:type="dxa" w:w="2304"/>
            <w:vAlign w:val="center"/>
          </w:tcPr>
          <w:p>
            <w:r>
              <w:t>quantity</w:t>
            </w:r>
          </w:p>
        </w:tc>
        <w:tc>
          <w:tcPr>
            <w:tcW w:type="dxa" w:w="4752"/>
            <w:vAlign w:val="center"/>
          </w:tcPr>
          <w:p>
            <w:r>
              <w:t>Number of units in the sample order.</w:t>
            </w:r>
          </w:p>
        </w:tc>
        <w:tc>
          <w:tcPr>
            <w:tcW w:type="dxa" w:w="3168"/>
            <w:vAlign w:val="center"/>
          </w:tcPr>
          <w:p>
            <w:r>
              <w:t>10</w:t>
            </w:r>
          </w:p>
        </w:tc>
      </w:tr>
      <w:tr>
        <w:tc>
          <w:tcPr>
            <w:tcW w:type="dxa" w:w="2304"/>
            <w:vAlign w:val="center"/>
          </w:tcPr>
          <w:p>
            <w:r>
              <w:t>price</w:t>
            </w:r>
          </w:p>
        </w:tc>
        <w:tc>
          <w:tcPr>
            <w:tcW w:type="dxa" w:w="4752"/>
            <w:vAlign w:val="center"/>
          </w:tcPr>
          <w:p>
            <w:r>
              <w:t>Assumed order price per unit.</w:t>
            </w:r>
          </w:p>
        </w:tc>
        <w:tc>
          <w:tcPr>
            <w:tcW w:type="dxa" w:w="3168"/>
            <w:vAlign w:val="center"/>
          </w:tcPr>
          <w:p>
            <w:r>
              <w:t>185.50</w:t>
            </w:r>
          </w:p>
        </w:tc>
      </w:tr>
    </w:tbl>
    <w:p/>
    <w:p>
      <w:pPr>
        <w:pStyle w:val="ListNumber"/>
      </w:pPr>
      <w:r>
        <w:t>Start the API and open `/docs`.</w:t>
      </w:r>
    </w:p>
    <w:p>
      <w:pPr>
        <w:pStyle w:val="ListNumber"/>
      </w:pPr>
      <w:r>
        <w:t>Expand `POST /orders/batch-evaluate` and choose Try it out.</w:t>
      </w:r>
    </w:p>
    <w:p>
      <w:pPr>
        <w:pStyle w:val="ListNumber"/>
      </w:pPr>
      <w:r>
        <w:t>Upload `data/orders_sample.csv` or `data/orders_sample.xlsx`.</w:t>
      </w:r>
    </w:p>
    <w:p>
      <w:pPr>
        <w:pStyle w:val="ListNumber"/>
      </w:pPr>
      <w:r>
        <w:t>Execute and inspect the response for the batch ID and result download path.</w:t>
      </w:r>
    </w:p>
    <w:p>
      <w:pPr>
        <w:pStyle w:val="ListNumber"/>
      </w:pPr>
      <w:r>
        <w:t>Open the corresponding `GET /batches/{batch_id}/results.csv` route to retrieve the generated result.</w:t>
      </w:r>
    </w:p>
    <w:p>
      <w:r>
        <w:t>The portfolio and market-price CSV files are reference/demo datasets in this version; the batch endpoint processes order files and does not automatically ingest those two reference datasets.</w:t>
      </w:r>
    </w:p>
    <w:p>
      <w:pPr>
        <w:pStyle w:val="Heading1"/>
      </w:pPr>
      <w:r>
        <w:t>7. API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</w:tcPr>
          <w:p>
            <w:r>
              <w:rPr>
                <w:b/>
              </w:rPr>
              <w:t>Method + path</w:t>
            </w:r>
          </w:p>
        </w:tc>
        <w:tc>
          <w:tcPr>
            <w:tcW w:type="dxa" w:w="57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  <w:vAlign w:val="center"/>
          </w:tcPr>
          <w:p>
            <w:r>
              <w:t>GET /health</w:t>
            </w:r>
          </w:p>
        </w:tc>
        <w:tc>
          <w:tcPr>
            <w:tcW w:type="dxa" w:w="5760"/>
            <w:vAlign w:val="center"/>
          </w:tcPr>
          <w:p>
            <w:r>
              <w:t>Basic health response.</w:t>
            </w:r>
          </w:p>
        </w:tc>
      </w:tr>
      <w:tr>
        <w:tc>
          <w:tcPr>
            <w:tcW w:type="dxa" w:w="4320"/>
            <w:vAlign w:val="center"/>
          </w:tcPr>
          <w:p>
            <w:r>
              <w:t>GET /risk-config</w:t>
            </w:r>
          </w:p>
        </w:tc>
        <w:tc>
          <w:tcPr>
            <w:tcW w:type="dxa" w:w="5760"/>
            <w:vAlign w:val="center"/>
          </w:tcPr>
          <w:p>
            <w:r>
              <w:t>Show active risk thresholds/configuration.</w:t>
            </w:r>
          </w:p>
        </w:tc>
      </w:tr>
      <w:tr>
        <w:tc>
          <w:tcPr>
            <w:tcW w:type="dxa" w:w="4320"/>
            <w:vAlign w:val="center"/>
          </w:tcPr>
          <w:p>
            <w:r>
              <w:t>GET /portfolio</w:t>
            </w:r>
          </w:p>
        </w:tc>
        <w:tc>
          <w:tcPr>
            <w:tcW w:type="dxa" w:w="5760"/>
            <w:vAlign w:val="center"/>
          </w:tcPr>
          <w:p>
            <w:r>
              <w:t>Show current simulated portfolio and exposure view.</w:t>
            </w:r>
          </w:p>
        </w:tc>
      </w:tr>
      <w:tr>
        <w:tc>
          <w:tcPr>
            <w:tcW w:type="dxa" w:w="4320"/>
            <w:vAlign w:val="center"/>
          </w:tcPr>
          <w:p>
            <w:r>
              <w:t>POST /orders/evaluate</w:t>
            </w:r>
          </w:p>
        </w:tc>
        <w:tc>
          <w:tcPr>
            <w:tcW w:type="dxa" w:w="5760"/>
            <w:vAlign w:val="center"/>
          </w:tcPr>
          <w:p>
            <w:r>
              <w:t>Evaluate one order through the risk engine.</w:t>
            </w:r>
          </w:p>
        </w:tc>
      </w:tr>
      <w:tr>
        <w:tc>
          <w:tcPr>
            <w:tcW w:type="dxa" w:w="4320"/>
            <w:vAlign w:val="center"/>
          </w:tcPr>
          <w:p>
            <w:r>
              <w:t>GET /orders</w:t>
            </w:r>
          </w:p>
        </w:tc>
        <w:tc>
          <w:tcPr>
            <w:tcW w:type="dxa" w:w="5760"/>
            <w:vAlign w:val="center"/>
          </w:tcPr>
          <w:p>
            <w:r>
              <w:t>List stored order decisions.</w:t>
            </w:r>
          </w:p>
        </w:tc>
      </w:tr>
      <w:tr>
        <w:tc>
          <w:tcPr>
            <w:tcW w:type="dxa" w:w="4320"/>
            <w:vAlign w:val="center"/>
          </w:tcPr>
          <w:p>
            <w:r>
              <w:t>GET /orders/{order_db_id}</w:t>
            </w:r>
          </w:p>
        </w:tc>
        <w:tc>
          <w:tcPr>
            <w:tcW w:type="dxa" w:w="5760"/>
            <w:vAlign w:val="center"/>
          </w:tcPr>
          <w:p>
            <w:r>
              <w:t>Fetch one stored decision by database ID.</w:t>
            </w:r>
          </w:p>
        </w:tc>
      </w:tr>
      <w:tr>
        <w:tc>
          <w:tcPr>
            <w:tcW w:type="dxa" w:w="4320"/>
            <w:vAlign w:val="center"/>
          </w:tcPr>
          <w:p>
            <w:r>
              <w:t>POST /orders/batch-evaluate</w:t>
            </w:r>
          </w:p>
        </w:tc>
        <w:tc>
          <w:tcPr>
            <w:tcW w:type="dxa" w:w="5760"/>
            <w:vAlign w:val="center"/>
          </w:tcPr>
          <w:p>
            <w:r>
              <w:t>Evaluate a CSV or Excel batch.</w:t>
            </w:r>
          </w:p>
        </w:tc>
      </w:tr>
      <w:tr>
        <w:tc>
          <w:tcPr>
            <w:tcW w:type="dxa" w:w="4320"/>
            <w:vAlign w:val="center"/>
          </w:tcPr>
          <w:p>
            <w:r>
              <w:t>GET /batches/{batch_id}/results.csv</w:t>
            </w:r>
          </w:p>
        </w:tc>
        <w:tc>
          <w:tcPr>
            <w:tcW w:type="dxa" w:w="5760"/>
            <w:vAlign w:val="center"/>
          </w:tcPr>
          <w:p>
            <w:r>
              <w:t>Download batch output as CSV.</w:t>
            </w:r>
          </w:p>
        </w:tc>
      </w:tr>
      <w:tr>
        <w:tc>
          <w:tcPr>
            <w:tcW w:type="dxa" w:w="4320"/>
            <w:vAlign w:val="center"/>
          </w:tcPr>
          <w:p>
            <w:r>
              <w:t>POST /orders/{order_db_id}/simulate-fill</w:t>
            </w:r>
          </w:p>
        </w:tc>
        <w:tc>
          <w:tcPr>
            <w:tcW w:type="dxa" w:w="5760"/>
            <w:vAlign w:val="center"/>
          </w:tcPr>
          <w:p>
            <w:r>
              <w:t>Simulate a fill for an eligible order and update portfolio state.</w:t>
            </w:r>
          </w:p>
        </w:tc>
      </w:tr>
      <w:tr>
        <w:tc>
          <w:tcPr>
            <w:tcW w:type="dxa" w:w="4320"/>
            <w:vAlign w:val="center"/>
          </w:tcPr>
          <w:p>
            <w:r>
              <w:t>POST /orders/{order_db_id}/cancel</w:t>
            </w:r>
          </w:p>
        </w:tc>
        <w:tc>
          <w:tcPr>
            <w:tcW w:type="dxa" w:w="5760"/>
            <w:vAlign w:val="center"/>
          </w:tcPr>
          <w:p>
            <w:r>
              <w:t>Cancel an eligible simulated order.</w:t>
            </w:r>
          </w:p>
        </w:tc>
      </w:tr>
      <w:tr>
        <w:tc>
          <w:tcPr>
            <w:tcW w:type="dxa" w:w="4320"/>
            <w:vAlign w:val="center"/>
          </w:tcPr>
          <w:p>
            <w:r>
              <w:t>POST /stress-test</w:t>
            </w:r>
          </w:p>
        </w:tc>
        <w:tc>
          <w:tcPr>
            <w:tcW w:type="dxa" w:w="5760"/>
            <w:vAlign w:val="center"/>
          </w:tcPr>
          <w:p>
            <w:r>
              <w:t>Estimate simplified portfolio impact under price shocks.</w:t>
            </w:r>
          </w:p>
        </w:tc>
      </w:tr>
      <w:tr>
        <w:tc>
          <w:tcPr>
            <w:tcW w:type="dxa" w:w="4320"/>
            <w:vAlign w:val="center"/>
          </w:tcPr>
          <w:p>
            <w:r>
              <w:t>POST /demo/set-daily-pnl</w:t>
            </w:r>
          </w:p>
        </w:tc>
        <w:tc>
          <w:tcPr>
            <w:tcW w:type="dxa" w:w="5760"/>
            <w:vAlign w:val="center"/>
          </w:tcPr>
          <w:p>
            <w:r>
              <w:t>Set daily P&amp;L state for demo/testing of the loss rule.</w:t>
            </w:r>
          </w:p>
        </w:tc>
      </w:tr>
      <w:tr>
        <w:tc>
          <w:tcPr>
            <w:tcW w:type="dxa" w:w="4320"/>
            <w:vAlign w:val="center"/>
          </w:tcPr>
          <w:p>
            <w:r>
              <w:t>GET /audit</w:t>
            </w:r>
          </w:p>
        </w:tc>
        <w:tc>
          <w:tcPr>
            <w:tcW w:type="dxa" w:w="5760"/>
            <w:vAlign w:val="center"/>
          </w:tcPr>
          <w:p>
            <w:r>
              <w:t>Inspect audit events.</w:t>
            </w:r>
          </w:p>
        </w:tc>
      </w:tr>
      <w:tr>
        <w:tc>
          <w:tcPr>
            <w:tcW w:type="dxa" w:w="4320"/>
            <w:vAlign w:val="center"/>
          </w:tcPr>
          <w:p>
            <w:r>
              <w:t>POST /demo/reset</w:t>
            </w:r>
          </w:p>
        </w:tc>
        <w:tc>
          <w:tcPr>
            <w:tcW w:type="dxa" w:w="5760"/>
            <w:vAlign w:val="center"/>
          </w:tcPr>
          <w:p>
            <w:r>
              <w:t>Reset local demo state; this clears demo data.</w:t>
            </w:r>
          </w:p>
        </w:tc>
      </w:tr>
    </w:tbl>
    <w:p/>
    <w:p>
      <w:r>
        <w:t>Use Swagger UI as the authoritative source for exact request bodies, field types, and response schemas. Do not assume a request shape from this summary alone.</w:t>
      </w:r>
    </w:p>
    <w:p>
      <w:pPr>
        <w:pStyle w:val="Heading1"/>
      </w:pPr>
      <w:r>
        <w:t>8. Risk rules explained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</w:tcPr>
          <w:p>
            <w:r>
              <w:rPr>
                <w:b/>
              </w:rPr>
              <w:t>Rule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608"/>
          </w:tcPr>
          <w:p>
            <w:r>
              <w:rPr>
                <w:b/>
              </w:rPr>
              <w:t>Important detail</w:t>
            </w:r>
          </w:p>
        </w:tc>
      </w:tr>
      <w:tr>
        <w:tc>
          <w:tcPr>
            <w:tcW w:type="dxa" w:w="1872"/>
            <w:vAlign w:val="center"/>
          </w:tcPr>
          <w:p>
            <w:r>
              <w:t>Order value</w:t>
            </w:r>
          </w:p>
        </w:tc>
        <w:tc>
          <w:tcPr>
            <w:tcW w:type="dxa" w:w="3600"/>
            <w:vAlign w:val="center"/>
          </w:tcPr>
          <w:p>
            <w:r>
              <w:t>quantity × price for the incoming order.</w:t>
            </w:r>
          </w:p>
        </w:tc>
        <w:tc>
          <w:tcPr>
            <w:tcW w:type="dxa" w:w="4608"/>
            <w:vAlign w:val="center"/>
          </w:tcPr>
          <w:p>
            <w:r>
              <w:t>Reject when above the configured single-order cap.</w:t>
            </w:r>
          </w:p>
        </w:tc>
      </w:tr>
      <w:tr>
        <w:tc>
          <w:tcPr>
            <w:tcW w:type="dxa" w:w="1872"/>
            <w:vAlign w:val="center"/>
          </w:tcPr>
          <w:p>
            <w:r>
              <w:t>Position value</w:t>
            </w:r>
          </w:p>
        </w:tc>
        <w:tc>
          <w:tcPr>
            <w:tcW w:type="dxa" w:w="3600"/>
            <w:vAlign w:val="center"/>
          </w:tcPr>
          <w:p>
            <w:r>
              <w:t>Estimated post-order value for one symbol.</w:t>
            </w:r>
          </w:p>
        </w:tc>
        <w:tc>
          <w:tcPr>
            <w:tcW w:type="dxa" w:w="4608"/>
            <w:vAlign w:val="center"/>
          </w:tcPr>
          <w:p>
            <w:r>
              <w:t>Simplified accounting; not a full trade ledger.</w:t>
            </w:r>
          </w:p>
        </w:tc>
      </w:tr>
      <w:tr>
        <w:tc>
          <w:tcPr>
            <w:tcW w:type="dxa" w:w="1872"/>
            <w:vAlign w:val="center"/>
          </w:tcPr>
          <w:p>
            <w:r>
              <w:t>Gross exposure</w:t>
            </w:r>
          </w:p>
        </w:tc>
        <w:tc>
          <w:tcPr>
            <w:tcW w:type="dxa" w:w="3600"/>
            <w:vAlign w:val="center"/>
          </w:tcPr>
          <w:p>
            <w:r>
              <w:t>Sum of absolute position market values.</w:t>
            </w:r>
          </w:p>
        </w:tc>
        <w:tc>
          <w:tcPr>
            <w:tcW w:type="dxa" w:w="4608"/>
            <w:vAlign w:val="center"/>
          </w:tcPr>
          <w:p>
            <w:r>
              <w:t>Does not net long and short positions against each other.</w:t>
            </w:r>
          </w:p>
        </w:tc>
      </w:tr>
      <w:tr>
        <w:tc>
          <w:tcPr>
            <w:tcW w:type="dxa" w:w="1872"/>
            <w:vAlign w:val="center"/>
          </w:tcPr>
          <w:p>
            <w:r>
              <w:t>Leverage</w:t>
            </w:r>
          </w:p>
        </w:tc>
        <w:tc>
          <w:tcPr>
            <w:tcW w:type="dxa" w:w="3600"/>
            <w:vAlign w:val="center"/>
          </w:tcPr>
          <w:p>
            <w:r>
              <w:t>A configured exposure measure divided by account equity.</w:t>
            </w:r>
          </w:p>
        </w:tc>
        <w:tc>
          <w:tcPr>
            <w:tcW w:type="dxa" w:w="4608"/>
            <w:vAlign w:val="center"/>
          </w:tcPr>
          <w:p>
            <w:r>
              <w:t>Must define gross/net/notional/margin methodology explicitly.</w:t>
            </w:r>
          </w:p>
        </w:tc>
      </w:tr>
      <w:tr>
        <w:tc>
          <w:tcPr>
            <w:tcW w:type="dxa" w:w="1872"/>
            <w:vAlign w:val="center"/>
          </w:tcPr>
          <w:p>
            <w:r>
              <w:t>Daily loss</w:t>
            </w:r>
          </w:p>
        </w:tc>
        <w:tc>
          <w:tcPr>
            <w:tcW w:type="dxa" w:w="3600"/>
            <w:vAlign w:val="center"/>
          </w:tcPr>
          <w:p>
            <w:r>
              <w:t>Stop adding risk after a loss threshold is crossed.</w:t>
            </w:r>
          </w:p>
        </w:tc>
        <w:tc>
          <w:tcPr>
            <w:tcW w:type="dxa" w:w="4608"/>
            <w:vAlign w:val="center"/>
          </w:tcPr>
          <w:p>
            <w:r>
              <w:t>Daily P&amp;L is injected by a demo endpoint, not fully calculated.</w:t>
            </w:r>
          </w:p>
        </w:tc>
      </w:tr>
      <w:tr>
        <w:tc>
          <w:tcPr>
            <w:tcW w:type="dxa" w:w="1872"/>
            <w:vAlign w:val="center"/>
          </w:tcPr>
          <w:p>
            <w:r>
              <w:t>Order rate</w:t>
            </w:r>
          </w:p>
        </w:tc>
        <w:tc>
          <w:tcPr>
            <w:tcW w:type="dxa" w:w="3600"/>
            <w:vAlign w:val="center"/>
          </w:tcPr>
          <w:p>
            <w:r>
              <w:t>Count/rate of recent submissions.</w:t>
            </w:r>
          </w:p>
        </w:tc>
        <w:tc>
          <w:tcPr>
            <w:tcW w:type="dxa" w:w="4608"/>
            <w:vAlign w:val="center"/>
          </w:tcPr>
          <w:p>
            <w:r>
              <w:t>Helps catch loops or bursts; real systems need distributed rate controls.</w:t>
            </w:r>
          </w:p>
        </w:tc>
      </w:tr>
      <w:tr>
        <w:tc>
          <w:tcPr>
            <w:tcW w:type="dxa" w:w="1872"/>
            <w:vAlign w:val="center"/>
          </w:tcPr>
          <w:p>
            <w:r>
              <w:t>ML anomaly</w:t>
            </w:r>
          </w:p>
        </w:tc>
        <w:tc>
          <w:tcPr>
            <w:tcW w:type="dxa" w:w="3600"/>
            <w:vAlign w:val="center"/>
          </w:tcPr>
          <w:p>
            <w:r>
              <w:t>Unusualness score/flag from Isolation Forest.</w:t>
            </w:r>
          </w:p>
        </w:tc>
        <w:tc>
          <w:tcPr>
            <w:tcW w:type="dxa" w:w="4608"/>
            <w:vAlign w:val="center"/>
          </w:tcPr>
          <w:p>
            <w:r>
              <w:t>Synthetic baseline only; cannot override a hard rule.</w:t>
            </w:r>
          </w:p>
        </w:tc>
      </w:tr>
      <w:tr>
        <w:tc>
          <w:tcPr>
            <w:tcW w:type="dxa" w:w="1872"/>
            <w:vAlign w:val="center"/>
          </w:tcPr>
          <w:p>
            <w:r>
              <w:t>Stress test</w:t>
            </w:r>
          </w:p>
        </w:tc>
        <w:tc>
          <w:tcPr>
            <w:tcW w:type="dxa" w:w="3600"/>
            <w:vAlign w:val="center"/>
          </w:tcPr>
          <w:p>
            <w:r>
              <w:t>Estimated impact under specified price shocks.</w:t>
            </w:r>
          </w:p>
        </w:tc>
        <w:tc>
          <w:tcPr>
            <w:tcW w:type="dxa" w:w="4608"/>
            <w:vAlign w:val="center"/>
          </w:tcPr>
          <w:p>
            <w:r>
              <w:t>Simplified spot-position arithmetic; not derivatives VaR/Greeks.</w:t>
            </w:r>
          </w:p>
        </w:tc>
      </w:tr>
    </w:tbl>
    <w:p/>
    <w:p>
      <w:r>
        <w:t>A production risk policy must state whether an anomaly causes allow, flag, hold, or reject. It must also define the exposure basis, equity source, loss calculation, reset boundary, stale-data policy, and behavior when required risk data is missing.</w:t>
      </w:r>
    </w:p>
    <w:p>
      <w:pPr>
        <w:pStyle w:val="Heading1"/>
      </w:pPr>
      <w:r>
        <w:t>9. SQL and local persistence</w:t>
      </w:r>
    </w:p>
    <w:p>
      <w:r>
        <w:t>SQLite is a file-backed relational database. It allows this POC to persist data between local API calls without setting up a separate database service. The project records order decisions, positions, audit events, application state, and batch results. Inspect `app/storage.py` for the actual schema.</w:t>
      </w:r>
    </w:p>
    <w:p>
      <w:pPr>
        <w:pStyle w:val="Heading2"/>
      </w:pPr>
      <w:r>
        <w:t>Example: rejected orders by symbol</w:t>
      </w:r>
    </w:p>
    <w:p>
      <w:pPr>
        <w:spacing w:after="120"/>
        <w:ind w:left="288"/>
      </w:pPr>
      <w:r>
        <w:rPr>
          <w:rFonts w:ascii="Consolas" w:hAnsi="Consolas"/>
          <w:color w:val="2D2D2D"/>
          <w:sz w:val="16"/>
        </w:rPr>
        <w:t>SELECT symbol, COUNT(*) AS rejected_count,</w:t>
        <w:br/>
        <w:t xml:space="preserve">       SUM(order_value) AS rejected_value</w:t>
        <w:br/>
        <w:t>FROM orders</w:t>
        <w:br/>
        <w:t>WHERE status = 'REJECTED'</w:t>
        <w:br/>
        <w:t>GROUP BY symbol</w:t>
        <w:br/>
        <w:t>ORDER BY rejected_value DESC;</w:t>
      </w:r>
    </w:p>
    <w:p>
      <w:pPr>
        <w:pStyle w:val="Heading2"/>
      </w:pPr>
      <w:r>
        <w:t>Example: distribution of decisions</w:t>
      </w:r>
    </w:p>
    <w:p>
      <w:pPr>
        <w:spacing w:after="120"/>
        <w:ind w:left="288"/>
      </w:pPr>
      <w:r>
        <w:rPr>
          <w:rFonts w:ascii="Consolas" w:hAnsi="Consolas"/>
          <w:color w:val="2D2D2D"/>
          <w:sz w:val="16"/>
        </w:rPr>
        <w:t>SELECT status, COUNT(*) AS order_count</w:t>
        <w:br/>
        <w:t>FROM orders</w:t>
        <w:br/>
        <w:t>GROUP BY status</w:t>
        <w:br/>
        <w:t>ORDER BY order_count DESC;</w:t>
      </w:r>
    </w:p>
    <w:p>
      <w:pPr>
        <w:pStyle w:val="Heading2"/>
      </w:pPr>
      <w:r>
        <w:t>Example: recent audit events</w:t>
      </w:r>
    </w:p>
    <w:p>
      <w:pPr>
        <w:spacing w:after="120"/>
        <w:ind w:left="288"/>
      </w:pPr>
      <w:r>
        <w:rPr>
          <w:rFonts w:ascii="Consolas" w:hAnsi="Consolas"/>
          <w:color w:val="2D2D2D"/>
          <w:sz w:val="16"/>
        </w:rPr>
        <w:t>SELECT *</w:t>
        <w:br/>
        <w:t>FROM audit_events</w:t>
        <w:br/>
        <w:t>ORDER BY created_at DESC</w:t>
        <w:br/>
        <w:t>LIMIT 50;</w:t>
      </w:r>
    </w:p>
    <w:p>
      <w:r>
        <w:t>SQL is useful for answering questions such as which symbols are frequently rejected, how much rejected order value is represented, what happened before/after a demo fill, and whether a risk decision was audited.</w:t>
      </w:r>
    </w:p>
    <w:p>
      <w:pPr>
        <w:pStyle w:val="Heading1"/>
      </w:pPr>
      <w:r>
        <w:t>10. Approval, simulated fill, and cancel</w:t>
      </w:r>
    </w:p>
    <w:p>
      <w:r>
        <w:t>Approval means only that the risk engine accepted the order at evaluation time. It is not a fill or a broker acknowledgement. The portfolio changes when the simulated-fill endpoint is called for an eligible order. The cancel endpoint demonstrates a simplified lifecycle transition. Real execution systems must handle partial fills, venue rejections, timeouts, cancel/fill races, and reconciliation.</w:t>
      </w:r>
    </w:p>
    <w:p>
      <w:pPr>
        <w:pStyle w:val="Heading1"/>
      </w:pPr>
      <w:r>
        <w:t>11. AI anomaly detection: what it does and does not mean</w:t>
      </w:r>
    </w:p>
    <w:p>
      <w:r>
        <w:t>Isolation Forest is an unsupervised outlier-detection algorithm. It learns patterns in the synthetic baseline and marks orders with unusual feature combinations. It does not understand market context, prove intent, or predict profit. A synthetic model is included to demonstrate where an ML signal can sit in the architecture. Before any real use, feature definitions, representative training data, drift checks, thresholds, false-positive rates, and human review procedures would need to be established.</w:t>
      </w:r>
    </w:p>
    <w:p>
      <w:pPr>
        <w:pStyle w:val="Heading1"/>
      </w:pPr>
      <w:r>
        <w:t>12. Optional Kafka extension</w:t>
      </w:r>
    </w:p>
    <w:p>
      <w:r>
        <w:t>Kafka is not required to run the core POC. It becomes useful when a decision needs to be consumed by multiple independent systems, replayed, or processed asynchronously. The included publisher is best-effort and is not transactionally coupled to the SQLite decision. If testing it, install Docker Desktop, run `docker compose up -d`, set `KAFKA_BOOTSTRAP_SERVERS=localhost:9092` in `.env`, and restart the app.</w:t>
      </w:r>
    </w:p>
    <w:p>
      <w:pPr>
        <w:pStyle w:val="ListBullet"/>
      </w:pPr>
      <w:r>
        <w:t>Potential consumers: monitoring/alerts, audit export, analytics/dashboard updates.</w:t>
      </w:r>
    </w:p>
    <w:p>
      <w:pPr>
        <w:pStyle w:val="ListBullet"/>
      </w:pPr>
      <w:r>
        <w:t>Production additions: transactional outbox, retries, dead-letter topic, event schema/versioning, idempotent consumers, lag monitoring.</w:t>
      </w:r>
    </w:p>
    <w:p>
      <w:pPr>
        <w:pStyle w:val="ListBullet"/>
      </w:pPr>
      <w:r>
        <w:t>Do not add Kafka merely for complexity; first prove the local API + risk + SQL workflow.</w:t>
      </w:r>
    </w:p>
    <w:p>
      <w:pPr>
        <w:pStyle w:val="Heading1"/>
      </w:pPr>
      <w:r>
        <w:t>13. Test coverage and what it proves</w:t>
      </w:r>
    </w:p>
    <w:p>
      <w:pPr>
        <w:pStyle w:val="ListBullet"/>
      </w:pPr>
      <w:r>
        <w:t>Health endpoint returns a response.</w:t>
      </w:r>
    </w:p>
    <w:p>
      <w:pPr>
        <w:pStyle w:val="ListBullet"/>
      </w:pPr>
      <w:r>
        <w:t>An oversized order is rejected.</w:t>
      </w:r>
    </w:p>
    <w:p>
      <w:pPr>
        <w:pStyle w:val="ListBullet"/>
      </w:pPr>
      <w:r>
        <w:t>An eligible order can be simulated as filled.</w:t>
      </w:r>
    </w:p>
    <w:p>
      <w:pPr>
        <w:pStyle w:val="ListBullet"/>
      </w:pPr>
      <w:r>
        <w:t>CSV batch upload is exercised.</w:t>
      </w:r>
    </w:p>
    <w:p>
      <w:pPr>
        <w:pStyle w:val="ListBullet"/>
      </w:pPr>
      <w:r>
        <w:t>Stress-test endpoint is exercised.</w:t>
      </w:r>
    </w:p>
    <w:p>
      <w:r>
        <w:t>Last verified local result: `5 passed`. This is a small smoke/regression suite. It does not prove concurrency safety, model quality, production security, accounting correctness, or reliability under failure.</w:t>
      </w:r>
    </w:p>
    <w:p>
      <w:pPr>
        <w:pStyle w:val="Heading1"/>
      </w:pPr>
      <w:r>
        <w:t>14. Limitations and production gaps</w:t>
      </w:r>
    </w:p>
    <w:p>
      <w:pPr>
        <w:pStyle w:val="ListBullet"/>
      </w:pPr>
      <w:r>
        <w:t>No live market data, broker/exchange connection, or real order submission.</w:t>
      </w:r>
    </w:p>
    <w:p>
      <w:pPr>
        <w:pStyle w:val="ListBullet"/>
      </w:pPr>
      <w:r>
        <w:t>SQLite and local synchronization are for a single-machine demonstration, not a distributed high-concurrency service.</w:t>
      </w:r>
    </w:p>
    <w:p>
      <w:pPr>
        <w:pStyle w:val="ListBullet"/>
      </w:pPr>
      <w:r>
        <w:t>Concurrent orders can require atomic capacity reservation so two requests cannot both consume the same remaining limit.</w:t>
      </w:r>
    </w:p>
    <w:p>
      <w:pPr>
        <w:pStyle w:val="ListBullet"/>
      </w:pPr>
      <w:r>
        <w:t>Daily P&amp;L is set through a demo endpoint rather than calculated from realized/unrealized P&amp;L, fees, and a defined reset boundary.</w:t>
      </w:r>
    </w:p>
    <w:p>
      <w:pPr>
        <w:pStyle w:val="ListBullet"/>
      </w:pPr>
      <w:r>
        <w:t>The anomaly model is synthetic and uncalibrated; false positives and false negatives are expected.</w:t>
      </w:r>
    </w:p>
    <w:p>
      <w:pPr>
        <w:pStyle w:val="ListBullet"/>
      </w:pPr>
      <w:r>
        <w:t>Stress testing is simplified and spot-position oriented; derivatives need instrument-specific notional, delta, Greeks, and margin logic.</w:t>
      </w:r>
    </w:p>
    <w:p>
      <w:pPr>
        <w:pStyle w:val="ListBullet"/>
      </w:pPr>
      <w:r>
        <w:t>No production authentication/authorization, secrets management, deployment hardening, monitoring, alerting, disaster recovery, or comprehensive reconciliation.</w:t>
      </w:r>
    </w:p>
    <w:p>
      <w:pPr>
        <w:pStyle w:val="ListBullet"/>
      </w:pPr>
      <w:r>
        <w:t>Kafka event publishing is best-effort and not an atomic part of the database transaction.</w:t>
      </w:r>
    </w:p>
    <w:p>
      <w:pPr>
        <w:pStyle w:val="ListBullet"/>
      </w:pPr>
      <w:r>
        <w:t>Portfolio and market-price sample CSVs are reference datasets and are not automatically loaded by the batch API.</w:t>
      </w:r>
    </w:p>
    <w:p>
      <w:pPr>
        <w:pStyle w:val="Heading1"/>
      </w:pPr>
      <w:r>
        <w:t>15. Recommended development roadmap</w:t>
      </w:r>
    </w:p>
    <w:p>
      <w:pPr>
        <w:pStyle w:val="ListNumber"/>
      </w:pPr>
      <w:r>
        <w:t>Run the project locally and verify every endpoint through Swagger UI.</w:t>
      </w:r>
    </w:p>
    <w:p>
      <w:pPr>
        <w:pStyle w:val="ListNumber"/>
      </w:pPr>
      <w:r>
        <w:t>Test both CSV and Excel batch inputs; inspect exported result files.</w:t>
      </w:r>
    </w:p>
    <w:p>
      <w:pPr>
        <w:pStyle w:val="ListNumber"/>
      </w:pPr>
      <w:r>
        <w:t>Inspect SQLite tables and run the example SQL queries.</w:t>
      </w:r>
    </w:p>
    <w:p>
      <w:pPr>
        <w:pStyle w:val="ListNumber"/>
      </w:pPr>
      <w:r>
        <w:t>Add idempotency keys, concurrency-safe capacity reservations, and explicit risk-config versioning.</w:t>
      </w:r>
    </w:p>
    <w:p>
      <w:pPr>
        <w:pStyle w:val="ListNumber"/>
      </w:pPr>
      <w:r>
        <w:t>Calculate P&amp;L from simulated fills and marked prices; define the trading-day reset and stale-data policy.</w:t>
      </w:r>
    </w:p>
    <w:p>
      <w:pPr>
        <w:pStyle w:val="ListNumber"/>
      </w:pPr>
      <w:r>
        <w:t>Improve execution-state reconciliation, including partial fills, cancels, and simulated execution failures.</w:t>
      </w:r>
    </w:p>
    <w:p>
      <w:pPr>
        <w:pStyle w:val="ListNumber"/>
      </w:pPr>
      <w:r>
        <w:t>Move to PostgreSQL if multi-process or multi-user concurrency is needed.</w:t>
      </w:r>
    </w:p>
    <w:p>
      <w:pPr>
        <w:pStyle w:val="ListNumber"/>
      </w:pPr>
      <w:r>
        <w:t>Add Kafka only when independent event consumers or replay are justified.</w:t>
      </w:r>
    </w:p>
    <w:p>
      <w:pPr>
        <w:pStyle w:val="ListNumber"/>
      </w:pPr>
      <w:r>
        <w:t>Add a dashboard, metrics, authentication, and deployment hardening after core correctness is established.</w:t>
      </w:r>
    </w:p>
    <w:p>
      <w:pPr>
        <w:pStyle w:val="Heading1"/>
      </w:pPr>
      <w:r>
        <w:t>16. Project file guide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6624"/>
          </w:tcPr>
          <w:p>
            <w:r>
              <w:rPr>
                <w:b/>
              </w:rPr>
              <w:t>What it contains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app/main.py</w:t>
            </w:r>
          </w:p>
        </w:tc>
        <w:tc>
          <w:tcPr>
            <w:tcW w:type="dxa" w:w="6624"/>
            <w:vAlign w:val="center"/>
          </w:tcPr>
          <w:p>
            <w:r>
              <w:t>FastAPI app and route handlers.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app/risk_engine.py</w:t>
            </w:r>
          </w:p>
        </w:tc>
        <w:tc>
          <w:tcPr>
            <w:tcW w:type="dxa" w:w="6624"/>
            <w:vAlign w:val="center"/>
          </w:tcPr>
          <w:p>
            <w:r>
              <w:t>Deterministic risk evaluation logic.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app/anomaly.py</w:t>
            </w:r>
          </w:p>
        </w:tc>
        <w:tc>
          <w:tcPr>
            <w:tcW w:type="dxa" w:w="6624"/>
            <w:vAlign w:val="center"/>
          </w:tcPr>
          <w:p>
            <w:r>
              <w:t>Synthetic Isolation Forest anomaly component.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app/schemas.py</w:t>
            </w:r>
          </w:p>
        </w:tc>
        <w:tc>
          <w:tcPr>
            <w:tcW w:type="dxa" w:w="6624"/>
            <w:vAlign w:val="center"/>
          </w:tcPr>
          <w:p>
            <w:r>
              <w:t>Pydantic request/response models.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app/config.py</w:t>
            </w:r>
          </w:p>
        </w:tc>
        <w:tc>
          <w:tcPr>
            <w:tcW w:type="dxa" w:w="6624"/>
            <w:vAlign w:val="center"/>
          </w:tcPr>
          <w:p>
            <w:r>
              <w:t>Risk configuration and environment-driven settings.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app/storage.py</w:t>
            </w:r>
          </w:p>
        </w:tc>
        <w:tc>
          <w:tcPr>
            <w:tcW w:type="dxa" w:w="6624"/>
            <w:vAlign w:val="center"/>
          </w:tcPr>
          <w:p>
            <w:r>
              <w:t>SQLite persistence and local state operations.</w:t>
            </w:r>
          </w:p>
        </w:tc>
      </w:tr>
      <w:tr>
        <w:tc>
          <w:tcPr>
            <w:tcW w:type="dxa" w:w="3456"/>
            <w:vAlign w:val="center"/>
          </w:tcPr>
          <w:p>
            <w:r>
              <w:t>app/kafka_publisher.py</w:t>
            </w:r>
          </w:p>
        </w:tc>
        <w:tc>
          <w:tcPr>
            <w:tcW w:type="dxa" w:w="6624"/>
            <w:vAlign w:val="center"/>
          </w:tcPr>
          <w:p>
            <w:r>
              <w:t>Optional Kafka event publisher.</w:t>
            </w:r>
          </w:p>
        </w:tc>
      </w:tr>
      <w:tr>
        <w:tc>
          <w:tcPr>
            <w:tcW w:type="dxa" w:w="3456"/>
            <w:vAlign w:val="center"/>
          </w:tcPr>
          <w:p>
            <w:r>
              <w:t>tests/test_api.py</w:t>
            </w:r>
          </w:p>
        </w:tc>
        <w:tc>
          <w:tcPr>
            <w:tcW w:type="dxa" w:w="6624"/>
            <w:vAlign w:val="center"/>
          </w:tcPr>
          <w:p>
            <w:r>
              <w:t>Automated API behavior tests.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data/orders_sample.csv</w:t>
            </w:r>
          </w:p>
        </w:tc>
        <w:tc>
          <w:tcPr>
            <w:tcW w:type="dxa" w:w="6624"/>
            <w:vAlign w:val="center"/>
          </w:tcPr>
          <w:p>
            <w:r>
              <w:t>Example CSV batch input.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data/orders_sample.xlsx</w:t>
            </w:r>
          </w:p>
        </w:tc>
        <w:tc>
          <w:tcPr>
            <w:tcW w:type="dxa" w:w="6624"/>
            <w:vAlign w:val="center"/>
          </w:tcPr>
          <w:p>
            <w:r>
              <w:t>Example Excel batch input.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data/portfolio_sample.csv</w:t>
            </w:r>
          </w:p>
        </w:tc>
        <w:tc>
          <w:tcPr>
            <w:tcW w:type="dxa" w:w="6624"/>
            <w:vAlign w:val="center"/>
          </w:tcPr>
          <w:p>
            <w:r>
              <w:t>Reference/demo portfolio dataset.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data/market_prices_sample.csv</w:t>
            </w:r>
          </w:p>
        </w:tc>
        <w:tc>
          <w:tcPr>
            <w:tcW w:type="dxa" w:w="6624"/>
            <w:vAlign w:val="center"/>
          </w:tcPr>
          <w:p>
            <w:r>
              <w:t>Reference/demo market-price dataset.</w:t>
            </w:r>
          </w:p>
        </w:tc>
      </w:tr>
      <w:tr>
        <w:tc>
          <w:tcPr>
            <w:tcW w:type="dxa" w:w="3456"/>
            <w:vAlign w:val="center"/>
          </w:tcPr>
          <w:p>
            <w:r>
              <w:t>README.md</w:t>
            </w:r>
          </w:p>
        </w:tc>
        <w:tc>
          <w:tcPr>
            <w:tcW w:type="dxa" w:w="6624"/>
            <w:vAlign w:val="center"/>
          </w:tcPr>
          <w:p>
            <w:r>
              <w:t>Quick-start instructions and API tour.</w:t>
            </w:r>
          </w:p>
        </w:tc>
      </w:tr>
      <w:tr>
        <w:tc>
          <w:tcPr>
            <w:tcW w:type="dxa" w:w="3456"/>
            <w:vAlign w:val="center"/>
          </w:tcPr>
          <w:p>
            <w:r>
              <w:t>docker-compose.yml</w:t>
            </w:r>
          </w:p>
        </w:tc>
        <w:tc>
          <w:tcPr>
            <w:tcW w:type="dxa" w:w="6624"/>
            <w:vAlign w:val="center"/>
          </w:tcPr>
          <w:p>
            <w:r>
              <w:t>Optional local Kafka setup.</w:t>
            </w:r>
          </w:p>
        </w:tc>
      </w:tr>
    </w:tbl>
    <w:p/>
    <w:p>
      <w:pPr>
        <w:pStyle w:val="Heading1"/>
      </w:pPr>
      <w:r>
        <w:t>17. Safety and intended use</w:t>
      </w:r>
    </w:p>
    <w:p>
      <w:r>
        <w:t>This is an educational portfolio POC, not a production trading control and not financial advice. Do not connect it to live trading or rely on it for real financial decisions. A real deployment would require independent risk validation, robust accounting, concurrency controls, secure infrastructure, monitoring, incident procedures, and regulatory/compliance review.</w:t>
      </w:r>
    </w:p>
    <w:p/>
    <w:p>
      <w:pPr>
        <w:jc w:val="center"/>
      </w:pPr>
      <w:r>
        <w:rPr>
          <w:i/>
          <w:color w:val="646464"/>
        </w:rPr>
        <w:t>End of guide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