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النوافذ والأبواب الألمنيوم</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واختبار نوافذ وأبواب الألومنيوم بالمواد، وكل ما يلزم لتنفيذها؛ مثل</w:t>
      </w:r>
      <w:r>
        <w:rPr>
          <w:rtl w:val="true"/>
        </w:rPr>
        <w:t xml:space="preserve">: </w:t>
      </w:r>
      <w:r>
        <w:rPr>
          <w:rtl w:val="true"/>
        </w:rPr>
        <w:t xml:space="preserve">الفريمات والقطاعات، والدرف، والحلوق والزجاج، والمسكات والمفصلات، والمقابض والكفرات، وشبك مانع الحشرات، والأقفال والكوالين، والفرش والربلات والدهانات، ومواد الحشو من الفلين والسيلكون، وأي </w:t>
      </w:r>
      <w:r>
        <w:rPr>
          <w:rtl w:val="true"/>
        </w:rPr>
        <w:t>(</w:t>
      </w:r>
      <w:r>
        <w:rPr>
          <w:rtl w:val="true"/>
        </w:rPr>
        <w:t>ملحقات</w:t>
      </w:r>
      <w:r>
        <w:rPr>
          <w:rtl w:val="true"/>
        </w:rPr>
        <w:t>)</w:t>
      </w:r>
      <w:r>
        <w:rPr>
          <w:rtl w:val="true"/>
        </w:rPr>
        <w:t>، وخلافه</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التجفيف والصنفرة والتنعيم للألمنيوم المستخدم في حال الحاجة إلى ذلك</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عمل أيّ دهانات تأسيس أو معاجين خاصة للألمنيوم مطلوبة</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تركيب كافة الملحقات المطلوبة للباب، مثل المسكات، والمفصلات والكوالين، أو تلك التي يرغب الطرف الأول بإضافتها للباب؛ مثل المصدات أو الدفاشات، أو القطع النحاسية أو خلافها وفقًا للمخططات</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بند اختياري</w:t>
      </w:r>
      <w:r>
        <w:rPr>
          <w:rtl w:val="true"/>
        </w:rPr>
        <w:t xml:space="preserve">) </w:t>
      </w:r>
      <w:r>
        <w:rPr>
          <w:rtl w:val="true"/>
        </w:rPr>
        <w:t>الدهان النهائي للحلوق والأبواب؛ إذا لم يكن هذا البند من ضمن أعمال مقاولين آخرين</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التنسيق مع المقاولين الآخرين في المشروع ومع مشرف المشروع</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تأمين مصدر كهربائي للموقع على</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مسؤولية توصيل المواد إلى أماكنها بالأدوار وأماكن العمل على الطرف الثاني</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يعيق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الطرفان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لحساب مساحة الباب؛ فإن مقاس عرض الباب يكون من طرف الدرفة إلى الطرف الآخر</w:t>
      </w:r>
      <w:r>
        <w:rPr>
          <w:rtl w:val="true"/>
        </w:rPr>
        <w:t xml:space="preserve">. </w:t>
      </w:r>
      <w:r>
        <w:rPr>
          <w:rtl w:val="true"/>
        </w:rPr>
        <w:t>أما الطول فيقاس من طرف الدرفة الأعلى إلى حافة درفة الباب من أسفل</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أي مساحة لنافذة بأقل من متر مربع واحد فتحسب للطرف الثاني بمتر مربع واحد</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في حال كان للنافذة برواز خارج عن القطاع؛ فيكون القياس من طرف البرواز إلى الطرف الآخر طولاً وعرضًا</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 xml:space="preserve">في حال كان للنافذة قوس فيحسب تمتير القوس بشكل منفصل عن النافذة؛ وذلك بضرب أطول ارتفاع في القوس </w:t>
      </w:r>
      <w:r>
        <w:rPr/>
        <w:t>X</w:t>
      </w:r>
      <w:r>
        <w:rPr>
          <w:rtl w:val="true"/>
        </w:rPr>
        <w:t xml:space="preserve"> </w:t>
      </w:r>
      <w:r>
        <w:rPr>
          <w:rtl w:val="true"/>
        </w:rPr>
        <w:t>لكل قوس قدره عرض القوس، ثم يضاف مبلغ مقطوع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انتهاء الأعمال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سنة من تاريخ هذه المخالصة النهائية الموقعة </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يلزم أن تكون كافة حلوق الأبواب والنوافذ والدرف جديدة ونظيفة ومعتدلة بدون أي انحناءات، وبسماكات منتظمة حسب المتفق عليه بين الطرفين في كافة الأجزاء والقطاعات</w:t>
      </w:r>
      <w:r>
        <w:rPr>
          <w:rtl w:val="true"/>
        </w:rPr>
        <w:t>.</w:t>
      </w:r>
    </w:p>
    <w:p>
      <w:pPr>
        <w:pStyle w:val="BodyText"/>
        <w:bidi w:val="1"/>
        <w:spacing w:before="0" w:after="0"/>
        <w:ind w:hanging="0" w:left="0" w:right="0"/>
        <w:jc w:val="left"/>
        <w:rPr/>
      </w:pPr>
      <w:r>
        <w:rPr/>
        <w:t>3</w:t>
      </w:r>
      <w:r>
        <w:rPr>
          <w:rtl w:val="true"/>
        </w:rPr>
        <w:t xml:space="preserve"> – </w:t>
      </w:r>
      <w:r>
        <w:rPr>
          <w:rtl w:val="true"/>
        </w:rPr>
        <w:t>حسب المواصفات المتفق عليها بين الطرفين ، فإن الطرف الثاني يلتزم بتقديم رسومات تنفيذية للأبواب والنوافذ موقعة من الطرفين ، توضح تصميم الباب والنافذة وكافة تفاصيلهما مثل مكوناتهما و شكلهما ونوعهما ومواصفاتهما وسماكاتهما وطبقاتهما</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إذا تم توقيع هذا العقد بين الطرفين؛ فإن أتعاب التصميم الواردة في بند رقم </w:t>
      </w:r>
      <w:r>
        <w:rPr/>
        <w:t>3</w:t>
      </w:r>
      <w:r>
        <w:rPr>
          <w:rtl w:val="true"/>
        </w:rPr>
        <w:t xml:space="preserve"> </w:t>
      </w:r>
      <w:r>
        <w:rPr>
          <w:rtl w:val="true"/>
        </w:rPr>
        <w:t xml:space="preserve">أعلاه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w:t>
      </w:r>
      <w:r>
        <w:rPr>
          <w:rtl w:val="true"/>
        </w:rPr>
        <w:t>.</w:t>
      </w:r>
    </w:p>
    <w:p>
      <w:pPr>
        <w:pStyle w:val="BodyText"/>
        <w:bidi w:val="1"/>
        <w:spacing w:before="0" w:after="0"/>
        <w:ind w:hanging="0" w:left="0" w:right="0"/>
        <w:jc w:val="left"/>
        <w:rPr/>
      </w:pPr>
      <w:r>
        <w:rPr/>
        <w:t>6</w:t>
      </w:r>
      <w:r>
        <w:rPr>
          <w:rtl w:val="true"/>
        </w:rPr>
        <w:t xml:space="preserve"> – </w:t>
      </w:r>
      <w:r>
        <w:rPr>
          <w:rtl w:val="true"/>
        </w:rPr>
        <w:t>يلتزم الطرف الثاني بإشعار الطرف الأول أو من يمثله قبل</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7</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مشرف المشروع</w:t>
      </w:r>
      <w:r>
        <w:rPr>
          <w:rtl w:val="true"/>
        </w:rPr>
        <w:t>.</w:t>
      </w:r>
    </w:p>
    <w:p>
      <w:pPr>
        <w:pStyle w:val="BodyText"/>
        <w:bidi w:val="1"/>
        <w:spacing w:before="0" w:after="0"/>
        <w:ind w:hanging="0" w:left="0" w:right="0"/>
        <w:jc w:val="left"/>
        <w:rPr/>
      </w:pPr>
      <w:r>
        <w:rPr/>
        <w:t>8</w:t>
      </w:r>
      <w:r>
        <w:rPr>
          <w:rtl w:val="true"/>
        </w:rPr>
        <w:t xml:space="preserve"> – </w:t>
      </w:r>
      <w:r>
        <w:rPr>
          <w:rtl w:val="true"/>
        </w:rPr>
        <w:t>الأعمال المخالفة لوثائق العقد، أو المنفَّذة من دون إذن أو استلام كتابي من مشرف المشروع؛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9</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10</w:t>
      </w:r>
      <w:r>
        <w:rPr>
          <w:rtl w:val="true"/>
        </w:rPr>
        <w:t xml:space="preserve"> –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10</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10</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10</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 من وثيقة العقد الأساسية</w:t>
      </w:r>
      <w:r>
        <w:rPr>
          <w:rtl w:val="true"/>
        </w:rPr>
        <w:t>.</w:t>
      </w:r>
    </w:p>
    <w:p>
      <w:pPr>
        <w:pStyle w:val="BodyText"/>
        <w:bidi w:val="1"/>
        <w:spacing w:before="0" w:after="0"/>
        <w:ind w:hanging="0" w:left="0" w:right="0"/>
        <w:jc w:val="left"/>
        <w:rPr/>
      </w:pPr>
      <w:r>
        <w:rPr/>
        <w:t>11</w:t>
      </w:r>
      <w:r>
        <w:rPr>
          <w:rtl w:val="true"/>
        </w:rPr>
        <w:t xml:space="preserve"> –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12</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 xml:space="preserve">يتم توريد وتركيب كافة النوافذ وأبواب الألومنيوم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 xml:space="preserve">تجميع وتركيب قطاعات النوافذ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rtl w:val="true"/>
        </w:rPr>
        <w:t xml:space="preserve">النوافذ </w:t>
      </w:r>
      <w:r>
        <w:rPr>
          <w:rtl w:val="true"/>
        </w:rPr>
        <w:t>:</w:t>
      </w:r>
    </w:p>
    <w:p>
      <w:pPr>
        <w:pStyle w:val="BodyText"/>
        <w:bidi w:val="1"/>
        <w:spacing w:before="0" w:after="0"/>
        <w:ind w:hanging="0" w:left="0" w:right="0"/>
        <w:jc w:val="left"/>
        <w:rPr/>
      </w:pPr>
      <w:r>
        <w:rPr>
          <w:rtl w:val="true"/>
        </w:rPr>
        <w:t>تُزود درف النوافذ بفرش وإطارات مطاطية لجميع الأطراف لمنع الغبار والمطر</w:t>
      </w:r>
      <w:r>
        <w:rPr>
          <w:rtl w:val="true"/>
        </w:rPr>
        <w:t xml:space="preserve">. </w:t>
      </w:r>
      <w:r>
        <w:rPr>
          <w:rtl w:val="true"/>
        </w:rPr>
        <w:t>وتزود القطاعات بفتحات خاصة لتصريف مياه المطر</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النوع </w:t>
      </w:r>
      <w:r>
        <w:rPr>
          <w:rtl w:val="true"/>
        </w:rPr>
        <w:t>:</w:t>
      </w:r>
    </w:p>
    <w:p>
      <w:pPr>
        <w:pStyle w:val="BodyText"/>
        <w:bidi w:val="1"/>
        <w:spacing w:before="0" w:after="0"/>
        <w:ind w:hanging="0" w:left="0" w:right="0"/>
        <w:jc w:val="left"/>
        <w:rPr/>
      </w:pPr>
      <w:r>
        <w:rPr>
          <w:rtl w:val="true"/>
        </w:rPr>
        <w:t>يلزم تحديد نوع أو أنواع النوافذ المطلوبة حسب المخططات ورغبة الطرف الأول</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 xml:space="preserve">القطاع </w:t>
      </w:r>
      <w:r>
        <w:rPr>
          <w:rtl w:val="true"/>
        </w:rPr>
        <w:t>:</w:t>
      </w:r>
    </w:p>
    <w:p>
      <w:pPr>
        <w:pStyle w:val="BodyText"/>
        <w:bidi w:val="1"/>
        <w:spacing w:before="0" w:after="0"/>
        <w:ind w:hanging="0" w:left="0" w:right="0"/>
        <w:jc w:val="left"/>
        <w:rPr/>
      </w:pPr>
      <w:r>
        <w:rPr>
          <w:rtl w:val="true"/>
        </w:rPr>
        <w:t xml:space="preserve">اسم القطاع </w:t>
      </w:r>
      <w:r>
        <w:rPr>
          <w:color w:val="64748B"/>
          <w:rtl w:val="true"/>
        </w:rPr>
        <w:t>..................</w:t>
      </w:r>
    </w:p>
    <w:p>
      <w:pPr>
        <w:pStyle w:val="BodyText"/>
        <w:bidi w:val="1"/>
        <w:spacing w:before="0" w:after="0"/>
        <w:ind w:hanging="0" w:left="0" w:right="0"/>
        <w:jc w:val="left"/>
        <w:rPr/>
      </w:pPr>
      <w:r>
        <w:rPr>
          <w:rtl w:val="true"/>
        </w:rPr>
        <w:t xml:space="preserve">من شركة </w:t>
      </w:r>
      <w:r>
        <w:rPr>
          <w:rtl w:val="true"/>
        </w:rPr>
        <w:t xml:space="preserve">/ </w:t>
      </w:r>
      <w:r>
        <w:rPr>
          <w:rtl w:val="true"/>
        </w:rPr>
        <w:t xml:space="preserve">مصنع </w:t>
      </w:r>
      <w:r>
        <w:rPr>
          <w:color w:val="64748B"/>
          <w:rtl w:val="true"/>
        </w:rPr>
        <w:t>..................</w:t>
      </w:r>
    </w:p>
    <w:p>
      <w:pPr>
        <w:pStyle w:val="BodyText"/>
        <w:bidi w:val="1"/>
        <w:spacing w:before="0" w:after="0"/>
        <w:ind w:hanging="0" w:left="0" w:right="0"/>
        <w:jc w:val="left"/>
        <w:rPr/>
      </w:pPr>
      <w:r>
        <w:rPr>
          <w:rtl w:val="true"/>
        </w:rPr>
        <w:t xml:space="preserve">لون النوافذ </w:t>
      </w:r>
      <w:r>
        <w:rPr>
          <w:color w:val="64748B"/>
          <w:rtl w:val="true"/>
        </w:rPr>
        <w:t>..................</w:t>
      </w:r>
    </w:p>
    <w:p>
      <w:pPr>
        <w:pStyle w:val="BodyText"/>
        <w:bidi w:val="1"/>
        <w:spacing w:before="0" w:after="0"/>
        <w:ind w:hanging="0" w:left="0" w:right="0"/>
        <w:jc w:val="left"/>
        <w:rPr/>
      </w:pPr>
      <w:r>
        <w:rPr>
          <w:rtl w:val="true"/>
        </w:rPr>
        <w:t xml:space="preserve">عرض القطاع </w:t>
      </w:r>
      <w:r>
        <w:rPr>
          <w:rtl w:val="true"/>
        </w:rPr>
        <w:t>(</w:t>
      </w:r>
      <w:r>
        <w:rPr>
          <w:rtl w:val="true"/>
        </w:rPr>
        <w:t>سم</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سماكة القطاع </w:t>
      </w:r>
      <w:r>
        <w:rPr>
          <w:rtl w:val="true"/>
        </w:rPr>
        <w:t>(</w:t>
      </w:r>
      <w:r>
        <w:rPr>
          <w:rtl w:val="true"/>
        </w:rPr>
        <w:t>سم</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شكل القطاع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طريقة تثبيت أركان القطاع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rtl w:val="true"/>
        </w:rPr>
        <w:t xml:space="preserve">الزجاج </w:t>
      </w:r>
      <w:r>
        <w:rPr>
          <w:rtl w:val="true"/>
        </w:rPr>
        <w:t>:</w:t>
      </w:r>
    </w:p>
    <w:p>
      <w:pPr>
        <w:pStyle w:val="BodyText"/>
        <w:bidi w:val="1"/>
        <w:spacing w:before="0" w:after="0"/>
        <w:ind w:hanging="0" w:left="0" w:right="0"/>
        <w:jc w:val="left"/>
        <w:rPr/>
      </w:pPr>
      <w:r>
        <w:rPr>
          <w:rtl w:val="true"/>
        </w:rPr>
        <w:t xml:space="preserve">الزجاج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مزود بحبيبات خاصة بين طبقتي الزجاج لامتصاص الرطوبة</w:t>
      </w:r>
      <w:r>
        <w:rPr>
          <w:rtl w:val="true"/>
        </w:rPr>
        <w:t>.</w:t>
      </w:r>
    </w:p>
    <w:p>
      <w:pPr>
        <w:pStyle w:val="BodyText"/>
        <w:bidi w:val="1"/>
        <w:spacing w:before="0" w:after="0"/>
        <w:ind w:hanging="0" w:left="0" w:right="0"/>
        <w:jc w:val="left"/>
        <w:rPr/>
      </w:pPr>
      <w:r>
        <w:rPr>
          <w:rtl w:val="true"/>
        </w:rPr>
        <w:t xml:space="preserve">يكون الزجاج مزدوجًا </w:t>
      </w:r>
      <w:r>
        <w:rPr>
          <w:rtl w:val="true"/>
        </w:rPr>
        <w:t>(</w:t>
      </w:r>
      <w:r>
        <w:rPr>
          <w:rtl w:val="true"/>
        </w:rPr>
        <w:t>دبل قلاس</w:t>
      </w:r>
      <w:r>
        <w:rPr>
          <w:rtl w:val="true"/>
        </w:rPr>
        <w:t>) .</w:t>
      </w:r>
    </w:p>
    <w:p>
      <w:pPr>
        <w:pStyle w:val="BodyText"/>
        <w:bidi w:val="1"/>
        <w:spacing w:before="0" w:after="0"/>
        <w:ind w:hanging="0" w:left="0" w:right="0"/>
        <w:jc w:val="left"/>
        <w:rPr/>
      </w:pPr>
      <w:r>
        <w:rPr>
          <w:rtl w:val="true"/>
        </w:rPr>
        <w:t xml:space="preserve">نوع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خاصية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سماكة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سماكة الفراغ في الزجاج المزدوج </w:t>
      </w:r>
      <w:r>
        <w:rPr>
          <w:rtl w:val="true"/>
        </w:rPr>
        <w:t xml:space="preserve">( </w:t>
      </w:r>
      <w:r>
        <w:rPr>
          <w:rtl w:val="true"/>
        </w:rPr>
        <w:t xml:space="preserve">دبل قلاس </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لون الزجاج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 xml:space="preserve">الخردوات </w:t>
      </w:r>
      <w:r>
        <w:rPr>
          <w:rtl w:val="true"/>
        </w:rPr>
        <w:t>(</w:t>
      </w:r>
      <w:r>
        <w:rPr>
          <w:rtl w:val="true"/>
        </w:rPr>
        <w:t>الملحقات</w:t>
      </w:r>
      <w:r>
        <w:rPr>
          <w:rtl w:val="true"/>
        </w:rPr>
        <w:t>):</w:t>
      </w:r>
    </w:p>
    <w:p>
      <w:pPr>
        <w:pStyle w:val="BodyText"/>
        <w:bidi w:val="1"/>
        <w:spacing w:before="0" w:after="0"/>
        <w:ind w:hanging="0" w:left="0" w:right="0"/>
        <w:jc w:val="left"/>
        <w:rPr/>
      </w:pPr>
      <w:r>
        <w:rPr>
          <w:rtl w:val="true"/>
        </w:rPr>
        <w:t>الأقفال</w:t>
      </w:r>
      <w:r>
        <w:rPr>
          <w:rtl w:val="true"/>
        </w:rPr>
        <w:t xml:space="preserve">/ </w:t>
      </w:r>
      <w:r>
        <w:rPr>
          <w:rtl w:val="true"/>
        </w:rPr>
        <w:t xml:space="preserve">المقابض تكون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كفرات تكون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الفرش والربلات تكون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شبك مانع الحشرات يكون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ومصنوع من </w:t>
      </w: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السيلنت </w:t>
      </w:r>
      <w:r>
        <w:rPr>
          <w:rtl w:val="true"/>
        </w:rPr>
        <w:t>(</w:t>
      </w:r>
      <w:r>
        <w:rPr>
          <w:rtl w:val="true"/>
        </w:rPr>
        <w:t>السيلكون</w:t>
      </w:r>
      <w:r>
        <w:rPr>
          <w:rtl w:val="true"/>
        </w:rPr>
        <w:t xml:space="preserve">) </w:t>
      </w:r>
      <w:r>
        <w:rPr>
          <w:rtl w:val="true"/>
        </w:rPr>
        <w:t xml:space="preserve">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7-1</w:t>
      </w:r>
      <w:r>
        <w:rPr>
          <w:rtl w:val="true"/>
        </w:rPr>
        <w:t xml:space="preserve"> </w:t>
      </w:r>
      <w:r>
        <w:rPr>
          <w:rtl w:val="true"/>
        </w:rPr>
        <w:t>مواد واشتراطات أخرى</w:t>
      </w:r>
      <w:r>
        <w:rPr>
          <w:rtl w:val="true"/>
        </w:rPr>
        <w:t>: (</w:t>
      </w:r>
      <w:r>
        <w:rPr>
          <w:rtl w:val="true"/>
        </w:rPr>
        <w:t>تُذكَر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rtl w:val="true"/>
        </w:rPr>
        <w:t xml:space="preserve">الدهان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rtl w:val="true"/>
        </w:rPr>
        <w:t xml:space="preserve">أبواب الألومنيوم </w:t>
      </w:r>
      <w:r>
        <w:rPr>
          <w:rtl w:val="true"/>
        </w:rPr>
        <w:t>:</w:t>
      </w:r>
    </w:p>
    <w:p>
      <w:pPr>
        <w:pStyle w:val="BodyText"/>
        <w:bidi w:val="1"/>
        <w:spacing w:before="0" w:after="0"/>
        <w:ind w:hanging="0" w:left="0" w:right="0"/>
        <w:jc w:val="left"/>
        <w:rPr/>
      </w:pPr>
      <w:r>
        <w:rPr>
          <w:rtl w:val="true"/>
        </w:rPr>
        <w:t>يُزود حلق الباب والدرفة بربل من الجهتين</w:t>
      </w:r>
      <w:r>
        <w:rPr>
          <w:rtl w:val="true"/>
        </w:rPr>
        <w:t>.</w:t>
      </w:r>
    </w:p>
    <w:p>
      <w:pPr>
        <w:pStyle w:val="BodyText"/>
        <w:bidi w:val="1"/>
        <w:spacing w:before="0" w:after="0"/>
        <w:ind w:hanging="0" w:left="0" w:right="0"/>
        <w:jc w:val="left"/>
        <w:rPr/>
      </w:pPr>
      <w:r>
        <w:rPr/>
        <w:t>9</w:t>
      </w:r>
      <w:r>
        <w:rPr>
          <w:rtl w:val="true"/>
        </w:rPr>
        <w:t xml:space="preserve"> – </w:t>
      </w:r>
      <w:r>
        <w:rPr/>
        <w:t>1</w:t>
      </w:r>
      <w:r>
        <w:rPr>
          <w:rtl w:val="true"/>
        </w:rPr>
        <w:t xml:space="preserve"> </w:t>
      </w:r>
      <w:r>
        <w:rPr>
          <w:rtl w:val="true"/>
        </w:rPr>
        <w:t xml:space="preserve">عرض الحلق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 </w:t>
      </w:r>
      <w:r>
        <w:rPr/>
        <w:t>2</w:t>
      </w:r>
      <w:r>
        <w:rPr>
          <w:rtl w:val="true"/>
        </w:rPr>
        <w:t xml:space="preserve"> </w:t>
      </w:r>
      <w:r>
        <w:rPr>
          <w:rtl w:val="true"/>
        </w:rPr>
        <w:t>يكون الباب بإطار بعرض</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rtl w:val="true"/>
        </w:rPr>
        <w:t xml:space="preserve">و الحشوة نوع </w:t>
      </w:r>
      <w:r>
        <w:rPr>
          <w:color w:val="64748B"/>
          <w:rtl w:val="true"/>
        </w:rPr>
        <w:t>..................</w:t>
      </w:r>
    </w:p>
    <w:p>
      <w:pPr>
        <w:pStyle w:val="BodyText"/>
        <w:bidi w:val="1"/>
        <w:spacing w:before="0" w:after="0"/>
        <w:ind w:hanging="0" w:left="0" w:right="0"/>
        <w:jc w:val="left"/>
        <w:rPr/>
      </w:pPr>
      <w:r>
        <w:rPr>
          <w:rtl w:val="true"/>
        </w:rPr>
        <w:t xml:space="preserve">بسماكة </w:t>
      </w:r>
      <w:r>
        <w:rPr>
          <w:color w:val="64748B"/>
          <w:rtl w:val="true"/>
        </w:rPr>
        <w:t>..................</w:t>
      </w:r>
    </w:p>
    <w:p>
      <w:pPr>
        <w:pStyle w:val="BodyText"/>
        <w:bidi w:val="1"/>
        <w:spacing w:before="0" w:after="0"/>
        <w:ind w:hanging="0" w:left="0" w:right="0"/>
        <w:jc w:val="left"/>
        <w:rPr/>
      </w:pPr>
      <w:r>
        <w:rPr>
          <w:rtl w:val="true"/>
        </w:rPr>
        <w:t xml:space="preserve">وسماكة صاج الالمنيوم </w:t>
      </w:r>
      <w:r>
        <w:rPr>
          <w:color w:val="64748B"/>
          <w:rtl w:val="true"/>
        </w:rPr>
        <w:t>..................</w:t>
      </w:r>
    </w:p>
    <w:p>
      <w:pPr>
        <w:pStyle w:val="BodyText"/>
        <w:bidi w:val="1"/>
        <w:spacing w:before="0" w:after="0"/>
        <w:ind w:hanging="0" w:left="0" w:right="0"/>
        <w:jc w:val="left"/>
        <w:rPr/>
      </w:pPr>
      <w:r>
        <w:rPr>
          <w:rtl w:val="true"/>
        </w:rPr>
        <w:t xml:space="preserve">ويكون النوع </w:t>
      </w: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t>10</w:t>
      </w:r>
      <w:r>
        <w:rPr>
          <w:rtl w:val="true"/>
        </w:rPr>
        <w:t xml:space="preserve"> – </w:t>
      </w:r>
      <w:r>
        <w:rPr>
          <w:rtl w:val="true"/>
        </w:rPr>
        <w:t>الخردوات واللون لأبواب الألومنيوم؛ يختار الطرفان مما ورد في النوافذ أعلاه</w:t>
      </w:r>
      <w:r>
        <w:rPr>
          <w:rtl w:val="true"/>
        </w:rPr>
        <w:t>.</w:t>
      </w:r>
    </w:p>
    <w:p>
      <w:pPr>
        <w:pStyle w:val="BodyText"/>
        <w:bidi w:val="1"/>
        <w:spacing w:before="0" w:after="0"/>
        <w:ind w:hanging="0" w:left="0" w:right="0"/>
        <w:jc w:val="left"/>
        <w:rPr/>
      </w:pPr>
      <w:r>
        <w:rPr/>
        <w:t>11</w:t>
      </w:r>
      <w:r>
        <w:rPr>
          <w:rtl w:val="true"/>
        </w:rPr>
        <w:t xml:space="preserve"> – </w:t>
      </w:r>
      <w:r>
        <w:rPr>
          <w:rtl w:val="true"/>
        </w:rPr>
        <w:t xml:space="preserve">مواد واشتراطات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قبل العمل يجب أخذ المقاسات على الطبيعة بدقة والتأكد من مناسبتها للعمل وفي حال الاختلاف عن المخططات يجب الرجوع للطرف الأول أو من يمثله</w:t>
      </w:r>
      <w:r>
        <w:rPr>
          <w:rtl w:val="true"/>
        </w:rPr>
        <w:t>.</w:t>
      </w:r>
    </w:p>
    <w:p>
      <w:pPr>
        <w:pStyle w:val="BodyText"/>
        <w:bidi w:val="1"/>
        <w:spacing w:before="0" w:after="0"/>
        <w:ind w:hanging="0" w:left="0" w:right="0"/>
        <w:jc w:val="left"/>
        <w:rPr/>
      </w:pPr>
      <w:r>
        <w:rPr/>
        <w:t>2</w:t>
      </w:r>
      <w:r>
        <w:rPr>
          <w:rtl w:val="true"/>
        </w:rPr>
        <w:t xml:space="preserve"> – </w:t>
      </w:r>
      <w:r>
        <w:rPr>
          <w:rtl w:val="true"/>
        </w:rPr>
        <w:t>تورد النوافذ والأبواب للموقع، وتركب وهي مزودة بطبقة حماية من البلاستيك ضد الخدوش حال الترحيل والتنزيل</w:t>
      </w:r>
      <w:r>
        <w:rPr>
          <w:rtl w:val="true"/>
        </w:rPr>
        <w:t>.</w:t>
      </w:r>
    </w:p>
    <w:p>
      <w:pPr>
        <w:pStyle w:val="BodyText"/>
        <w:bidi w:val="1"/>
        <w:spacing w:before="0" w:after="0"/>
        <w:ind w:hanging="0" w:left="0" w:right="0"/>
        <w:jc w:val="left"/>
        <w:rPr/>
      </w:pPr>
      <w:r>
        <w:rPr/>
        <w:t>3</w:t>
      </w:r>
      <w:r>
        <w:rPr>
          <w:rtl w:val="true"/>
        </w:rPr>
        <w:t xml:space="preserve"> – </w:t>
      </w:r>
      <w:r>
        <w:rPr>
          <w:rtl w:val="true"/>
        </w:rPr>
        <w:t xml:space="preserve">في حال وجود فراغ </w:t>
      </w:r>
      <w:r>
        <w:rPr>
          <w:rtl w:val="true"/>
        </w:rPr>
        <w:t xml:space="preserve">( </w:t>
      </w:r>
      <w:r>
        <w:rPr/>
        <w:t>1</w:t>
      </w:r>
      <w:r>
        <w:rPr>
          <w:rtl w:val="true"/>
        </w:rPr>
        <w:t xml:space="preserve"> ) </w:t>
      </w:r>
      <w:r>
        <w:rPr>
          <w:rtl w:val="true"/>
        </w:rPr>
        <w:t>سم أو أكثر بين الحائط وقطاع النافذة أو الباب؛ فيملأ بمادة فوم إسفنجية على شكل أسطواني وبحجم أعرض من الفراغ</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تضاف مادة السيلنت </w:t>
      </w:r>
      <w:r>
        <w:rPr>
          <w:rtl w:val="true"/>
        </w:rPr>
        <w:t>(</w:t>
      </w:r>
      <w:r>
        <w:rPr>
          <w:rtl w:val="true"/>
        </w:rPr>
        <w:t>السيلكون</w:t>
      </w:r>
      <w:r>
        <w:rPr>
          <w:rtl w:val="true"/>
        </w:rPr>
        <w:t xml:space="preserve">) </w:t>
      </w:r>
      <w:r>
        <w:rPr>
          <w:rtl w:val="true"/>
        </w:rPr>
        <w:t>على محيط النافذة أو الباب من الداخل والخارج مع مراعاة لون ونوع السيلكون</w:t>
      </w:r>
      <w:r>
        <w:rPr>
          <w:rtl w:val="true"/>
        </w:rPr>
        <w:t>.</w:t>
      </w:r>
    </w:p>
    <w:p>
      <w:pPr>
        <w:pStyle w:val="BodyText"/>
        <w:bidi w:val="1"/>
        <w:spacing w:before="0" w:after="0"/>
        <w:ind w:hanging="0" w:left="0" w:right="0"/>
        <w:jc w:val="left"/>
        <w:rPr/>
      </w:pPr>
      <w:r>
        <w:rPr/>
        <w:t>5</w:t>
      </w:r>
      <w:r>
        <w:rPr>
          <w:rtl w:val="true"/>
        </w:rPr>
        <w:t xml:space="preserve"> – </w:t>
      </w:r>
      <w:r>
        <w:rPr>
          <w:rtl w:val="true"/>
        </w:rPr>
        <w:t>يلزم أن تكون جميع المسامير المستخدَمة في التثبيت والتركيب مجلفنة غير قابلة للصدأ وبرأس مسطح مخفي داخل الثقب ومغطى بغطاء بلاستيكي خاص</w:t>
      </w:r>
      <w:r>
        <w:rPr>
          <w:rtl w:val="true"/>
        </w:rPr>
        <w:t>.</w:t>
      </w:r>
    </w:p>
    <w:p>
      <w:pPr>
        <w:pStyle w:val="BodyText"/>
        <w:bidi w:val="1"/>
        <w:spacing w:before="0" w:after="0"/>
        <w:ind w:hanging="0" w:left="0" w:right="0"/>
        <w:jc w:val="left"/>
        <w:rPr/>
      </w:pPr>
      <w:r>
        <w:rPr/>
        <w:t>6</w:t>
      </w:r>
      <w:r>
        <w:rPr>
          <w:rtl w:val="true"/>
        </w:rPr>
        <w:t xml:space="preserve"> – </w:t>
      </w:r>
      <w:r>
        <w:rPr>
          <w:rtl w:val="true"/>
        </w:rPr>
        <w:t>يلزم أن تكون منطقة التقاء القطاعات الرأسية والأفقية عند الأركان مستوية وناعمة وغير بارزة</w:t>
      </w:r>
      <w:r>
        <w:rPr>
          <w:rtl w:val="true"/>
        </w:rPr>
        <w:t>.</w:t>
      </w:r>
    </w:p>
    <w:p>
      <w:pPr>
        <w:pStyle w:val="BodyText"/>
        <w:bidi w:val="1"/>
        <w:spacing w:before="0" w:after="0"/>
        <w:ind w:hanging="0" w:left="0" w:right="0"/>
        <w:jc w:val="left"/>
        <w:rPr/>
      </w:pPr>
      <w:r>
        <w:rPr/>
        <w:t>7</w:t>
      </w:r>
      <w:r>
        <w:rPr>
          <w:rtl w:val="true"/>
        </w:rPr>
        <w:t xml:space="preserve"> – </w:t>
      </w:r>
      <w:r>
        <w:rPr>
          <w:rtl w:val="true"/>
        </w:rPr>
        <w:t>عند إغلاق النافذة السحاب يلزم أن يكون الإغلاق محكمًا بلا أيّ فراغات أو اهتزازات بين الدرفة والقطاع</w:t>
      </w:r>
      <w:r>
        <w:rPr>
          <w:rtl w:val="true"/>
        </w:rPr>
        <w:t>.</w:t>
      </w:r>
    </w:p>
    <w:p>
      <w:pPr>
        <w:pStyle w:val="BodyText"/>
        <w:bidi w:val="1"/>
        <w:spacing w:before="0" w:after="0"/>
        <w:ind w:hanging="0" w:left="0" w:right="0"/>
        <w:jc w:val="left"/>
        <w:rPr/>
      </w:pPr>
      <w:r>
        <w:rPr/>
        <w:t>8</w:t>
      </w:r>
      <w:r>
        <w:rPr>
          <w:rtl w:val="true"/>
        </w:rPr>
        <w:t xml:space="preserve"> – </w:t>
      </w:r>
      <w:r>
        <w:rPr>
          <w:rtl w:val="true"/>
        </w:rPr>
        <w:t>يلزم أن يكون شبك مانع الحشرات مشدودًا على الإطار بإحكام وغير مترهل</w:t>
      </w:r>
      <w:r>
        <w:rPr>
          <w:rtl w:val="true"/>
        </w:rPr>
        <w:t>.</w:t>
      </w:r>
    </w:p>
    <w:p>
      <w:pPr>
        <w:pStyle w:val="BodyText"/>
        <w:bidi w:val="1"/>
        <w:spacing w:before="0" w:after="0"/>
        <w:ind w:hanging="0" w:left="0" w:right="0"/>
        <w:jc w:val="left"/>
        <w:rPr/>
      </w:pPr>
      <w:r>
        <w:rPr/>
        <w:t>9</w:t>
      </w:r>
      <w:r>
        <w:rPr>
          <w:rtl w:val="true"/>
        </w:rPr>
        <w:t xml:space="preserve"> – </w:t>
      </w:r>
      <w:r>
        <w:rPr>
          <w:rtl w:val="true"/>
        </w:rPr>
        <w:t>بعد التركيب تُختبر النوافذ برشها من الخارج بالماء ومعاينة أي تهريب للماء من الداخل</w:t>
      </w:r>
      <w:r>
        <w:rPr>
          <w:rtl w:val="true"/>
        </w:rPr>
        <w:t>.</w:t>
      </w:r>
    </w:p>
    <w:p>
      <w:pPr>
        <w:pStyle w:val="BodyText"/>
        <w:bidi w:val="1"/>
        <w:spacing w:before="0" w:after="0"/>
        <w:ind w:hanging="0" w:left="0" w:right="0"/>
        <w:jc w:val="left"/>
        <w:rPr/>
      </w:pPr>
      <w:r>
        <w:rPr/>
        <w:t>10</w:t>
      </w:r>
      <w:r>
        <w:rPr>
          <w:rtl w:val="true"/>
        </w:rPr>
        <w:t xml:space="preserve"> – </w:t>
      </w:r>
      <w:r>
        <w:rPr>
          <w:rtl w:val="true"/>
        </w:rPr>
        <w:t>يلزم إزالة أي قشور أو نتوءات في الألمنيوم وصنفرة أي لحام إن وجد بشكل يضمن الاستواء والنعومة</w:t>
      </w:r>
      <w:r>
        <w:rPr>
          <w:rtl w:val="true"/>
        </w:rPr>
        <w:t>.</w:t>
      </w:r>
    </w:p>
    <w:p>
      <w:pPr>
        <w:pStyle w:val="BodyText"/>
        <w:bidi w:val="1"/>
        <w:spacing w:before="0" w:after="0"/>
        <w:ind w:hanging="0" w:left="0" w:right="0"/>
        <w:jc w:val="left"/>
        <w:rPr/>
      </w:pPr>
      <w:r>
        <w:rPr/>
        <w:t>11</w:t>
      </w:r>
      <w:r>
        <w:rPr>
          <w:rtl w:val="true"/>
        </w:rPr>
        <w:t xml:space="preserve"> – </w:t>
      </w:r>
      <w:r>
        <w:rPr>
          <w:rtl w:val="true"/>
        </w:rPr>
        <w:t>في حال استخدام مسامير لولبية في التثبيت فيلزم أن تكون مجلفنة وبرأس مسطح غير بارز</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النوافذ والأبواب الألمنيوم</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النوافذ والأبواب الألمنيوم</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