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 xml:space="preserve">عقد أعمال التكسية الخارجية </w:t>
      </w:r>
      <w:r>
        <w:rPr>
          <w:rtl w:val="true"/>
        </w:rPr>
        <w:t>(</w:t>
      </w:r>
      <w:r>
        <w:rPr>
          <w:rtl w:val="true"/>
        </w:rPr>
        <w:t>بدون مواد</w:t>
      </w:r>
      <w:r>
        <w:rPr>
          <w:rtl w:val="true"/>
        </w:rPr>
        <w:t>)</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 xml:space="preserve">يلتزم الطرف الثاني بتنفيذ جميع أعمال التكسيات الخارجية للواجهات والأسوار والملاحق الخارجية بدون مواد حسب المخططات </w:t>
      </w:r>
      <w:r>
        <w:rPr>
          <w:rtl w:val="true"/>
        </w:rPr>
        <w:t>(</w:t>
      </w:r>
      <w:r>
        <w:rPr>
          <w:rtl w:val="true"/>
        </w:rPr>
        <w:t>رخام أو حجر؛ بناءً على العينات المعتمَدة من الطرف الأول</w:t>
      </w:r>
      <w:r>
        <w:rPr>
          <w:rtl w:val="true"/>
        </w:rPr>
        <w:t xml:space="preserve">). </w:t>
      </w:r>
      <w:r>
        <w:rPr>
          <w:rtl w:val="true"/>
        </w:rPr>
        <w:t>وكل ما يلزم لتنفيذها من أعمال للتركيب الميكانيكي، وأي ديكورات أو أحزمة أو أغطية أو غلقات، أو تيجان أو كرانيش، أو هياكل حديدية، ويشمل نطاق العمل البنود التالية</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أعمال توريد وتركيب السقالات المعدنية الخارجية اللازمة للعمل</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بند اختياري</w:t>
      </w:r>
      <w:r>
        <w:rPr>
          <w:rtl w:val="true"/>
        </w:rPr>
        <w:t xml:space="preserve">) </w:t>
      </w:r>
      <w:r>
        <w:rPr>
          <w:rtl w:val="true"/>
        </w:rPr>
        <w:t>دهان الواجهات بدهان بيتوميني على البارد؛ ما لم يكن لهذا البند عقد مستقل</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بند اختياري</w:t>
      </w:r>
      <w:r>
        <w:rPr>
          <w:rtl w:val="true"/>
        </w:rPr>
        <w:t xml:space="preserve">) </w:t>
      </w:r>
      <w:r>
        <w:rPr>
          <w:rtl w:val="true"/>
        </w:rPr>
        <w:t xml:space="preserve">تصميم الواجهات ثنائي وثلاثي الابعاد </w:t>
      </w:r>
      <w:r>
        <w:rPr>
          <w:rtl w:val="true"/>
        </w:rPr>
        <w:t>(</w:t>
      </w:r>
      <w:r>
        <w:rPr/>
        <w:t>2D – 3D</w:t>
      </w:r>
      <w:r>
        <w:rPr>
          <w:rtl w:val="true"/>
        </w:rPr>
        <w:t xml:space="preserve">) </w:t>
      </w:r>
      <w:r>
        <w:rPr>
          <w:rtl w:val="true"/>
        </w:rPr>
        <w:t>بكافة التفاصيل المطلوبة للتنفيذ والتركيب وبمقاسات تتوافق مع الواجهات على الطبيعة؛ بحيث تكون كافة البلاطات بشكل مكتمل، ولا تكون هناك أنصاف أو أرباع بلاطات في نهاية الواجهة</w:t>
      </w:r>
      <w:r>
        <w:rPr>
          <w:rtl w:val="true"/>
        </w:rPr>
        <w:t xml:space="preserve">. </w:t>
      </w:r>
      <w:r>
        <w:rPr>
          <w:rtl w:val="true"/>
        </w:rPr>
        <w:t>مع الإشارة برقم أو رمز في التصميم للمواد والبنود المطلوبة</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1</w:t>
      </w:r>
      <w:r>
        <w:rPr>
          <w:rtl w:val="true"/>
        </w:rPr>
        <w:t xml:space="preserve"> – </w:t>
      </w:r>
      <w:r>
        <w:rPr/>
        <w:t>4</w:t>
      </w:r>
      <w:r>
        <w:rPr>
          <w:rtl w:val="true"/>
        </w:rPr>
        <w:t xml:space="preserve"> </w:t>
      </w:r>
      <w:r>
        <w:rPr>
          <w:rtl w:val="true"/>
        </w:rPr>
        <w:t>التنسيق مع المقاولين الآخرين في المشروع والتنسيق مع مشرف المشروع</w:t>
      </w:r>
      <w:r>
        <w:rPr>
          <w:rtl w:val="true"/>
        </w:rPr>
        <w:t>.</w:t>
      </w:r>
    </w:p>
    <w:p>
      <w:pPr>
        <w:pStyle w:val="BodyText"/>
        <w:bidi w:val="1"/>
        <w:spacing w:before="0" w:after="0"/>
        <w:ind w:hanging="0" w:left="0" w:right="0"/>
        <w:jc w:val="left"/>
        <w:rPr/>
      </w:pPr>
      <w:r>
        <w:rPr/>
        <w:t>1</w:t>
      </w:r>
      <w:r>
        <w:rPr>
          <w:rtl w:val="true"/>
        </w:rPr>
        <w:t xml:space="preserve"> – </w:t>
      </w:r>
      <w:r>
        <w:rPr/>
        <w:t>5</w:t>
      </w:r>
      <w:r>
        <w:rPr>
          <w:rtl w:val="true"/>
        </w:rPr>
        <w:t xml:space="preserve"> </w:t>
      </w:r>
      <w:r>
        <w:rPr>
          <w:rtl w:val="true"/>
        </w:rPr>
        <w:t>تأمين مصدر كهربائي للموقع على</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1</w:t>
      </w:r>
      <w:r>
        <w:rPr>
          <w:rtl w:val="true"/>
        </w:rPr>
        <w:t xml:space="preserve"> – </w:t>
      </w:r>
      <w:r>
        <w:rPr/>
        <w:t>6</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1</w:t>
      </w:r>
      <w:r>
        <w:rPr>
          <w:rtl w:val="true"/>
        </w:rPr>
        <w:t xml:space="preserve"> – </w:t>
      </w:r>
      <w:r>
        <w:rPr/>
        <w:t>7</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يتحمل الطرف الثاني أي غرامات نتيجة لمخالفة ذلك</w:t>
      </w:r>
      <w:r>
        <w:rPr>
          <w:rtl w:val="true"/>
        </w:rPr>
        <w:t>.</w:t>
      </w:r>
    </w:p>
    <w:p>
      <w:pPr>
        <w:pStyle w:val="BodyText"/>
        <w:bidi w:val="1"/>
        <w:spacing w:before="0" w:after="0"/>
        <w:ind w:hanging="0" w:left="0" w:right="0"/>
        <w:jc w:val="left"/>
        <w:rPr/>
      </w:pPr>
      <w:r>
        <w:rPr/>
        <w:t>1</w:t>
      </w:r>
      <w:r>
        <w:rPr>
          <w:rtl w:val="true"/>
        </w:rPr>
        <w:t xml:space="preserve"> – </w:t>
      </w:r>
      <w:r>
        <w:rPr/>
        <w:t>8</w:t>
      </w:r>
      <w:r>
        <w:rPr>
          <w:rtl w:val="true"/>
        </w:rPr>
        <w:t xml:space="preserve"> </w:t>
      </w:r>
      <w:r>
        <w:rPr>
          <w:rtl w:val="true"/>
        </w:rPr>
        <w:t xml:space="preserve">يلتزم الطرف الثاني بإتباع جميع لوائح الجهات الرسمية </w:t>
      </w:r>
      <w:r>
        <w:rPr>
          <w:rtl w:val="true"/>
        </w:rPr>
        <w:t>(</w:t>
      </w:r>
      <w:r>
        <w:rPr>
          <w:rtl w:val="true"/>
        </w:rPr>
        <w:t xml:space="preserve">بلدية، مرور، </w:t>
      </w:r>
      <w:r>
        <w:rPr>
          <w:rtl w:val="true"/>
        </w:rPr>
        <w:t xml:space="preserve">.... </w:t>
      </w:r>
      <w:r>
        <w:rPr>
          <w:rtl w:val="true"/>
        </w:rPr>
        <w:t>إلخ</w:t>
      </w:r>
      <w:r>
        <w:rPr>
          <w:rtl w:val="true"/>
        </w:rPr>
        <w:t>)</w:t>
      </w:r>
      <w:r>
        <w:rPr>
          <w:rtl w:val="true"/>
        </w:rPr>
        <w:t>، وعدم شغل الطريق بمواد البناء والأخشاب والآلات أكثر مما هو مسموح به في رخصة البناء</w:t>
      </w:r>
      <w:r>
        <w:rPr>
          <w:rtl w:val="true"/>
        </w:rPr>
        <w:t>.</w:t>
      </w:r>
    </w:p>
    <w:p>
      <w:pPr>
        <w:pStyle w:val="BodyText"/>
        <w:bidi w:val="1"/>
        <w:spacing w:before="0" w:after="0"/>
        <w:ind w:hanging="0" w:left="0" w:right="0"/>
        <w:jc w:val="left"/>
        <w:rPr/>
      </w:pPr>
      <w:r>
        <w:rPr/>
        <w:t>1</w:t>
      </w:r>
      <w:r>
        <w:rPr>
          <w:rtl w:val="true"/>
        </w:rPr>
        <w:t xml:space="preserve"> – </w:t>
      </w:r>
      <w:r>
        <w:rPr/>
        <w:t>9</w:t>
      </w:r>
      <w:r>
        <w:rPr>
          <w:rtl w:val="true"/>
        </w:rPr>
        <w:t xml:space="preserve"> </w:t>
      </w:r>
      <w:r>
        <w:rPr>
          <w:rtl w:val="true"/>
        </w:rPr>
        <w:t>تكاليف المواد اللازمة للتنفيذ مثل الماء والأسمنت والرمل أو الهياكل و الزوايا الحديدية أو الخوابير أو المسامير أو الغراء أو خلافه تكون على الطرف الأول</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تحتسب كل المسطحات التي يتم تكسيتها مهما كانت مساحتها صغيرة، مثل البطنيات والغلاقات والتغطيات لجلسات النوافذ أو الفتحات التي ليس فيها نوافذ أو أبواب وخلافها حسب السعر المتفق عليه</w:t>
      </w:r>
      <w:r>
        <w:rPr>
          <w:rtl w:val="true"/>
        </w:rPr>
        <w:t>.</w:t>
      </w:r>
    </w:p>
    <w:p>
      <w:pPr>
        <w:pStyle w:val="BodyText"/>
        <w:bidi w:val="1"/>
        <w:spacing w:before="0" w:after="0"/>
        <w:ind w:hanging="0" w:left="0" w:right="0"/>
        <w:jc w:val="left"/>
        <w:rPr/>
      </w:pPr>
      <w:r>
        <w:rPr/>
        <w:t>2</w:t>
      </w:r>
      <w:r>
        <w:rPr>
          <w:rtl w:val="true"/>
        </w:rPr>
        <w:t xml:space="preserve"> – </w:t>
      </w:r>
      <w:r>
        <w:rPr/>
        <w:t>3</w:t>
      </w:r>
      <w:r>
        <w:rPr>
          <w:rtl w:val="true"/>
        </w:rPr>
        <w:t xml:space="preserve"> </w:t>
      </w:r>
      <w:r>
        <w:rPr>
          <w:rtl w:val="true"/>
        </w:rPr>
        <w:t xml:space="preserve">إذا كانت مساحة المناور والفتحات في الأسقف أو الحوائط أو الأسوار – </w:t>
      </w:r>
      <w:r>
        <w:rPr/>
        <w:t>1</w:t>
      </w:r>
      <w:r>
        <w:rPr>
          <w:rtl w:val="true"/>
        </w:rPr>
        <w:t xml:space="preserve"> </w:t>
      </w:r>
      <w:r>
        <w:rPr>
          <w:rtl w:val="true"/>
        </w:rPr>
        <w:t>متر مربع – فأقل، فتُحسَب لطرف الثاني، وإذا زادت عن ذلك فتُخصَم من القياس</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يتم تحرير مخالصة نهائية موقعة من الطرفين عند انتهاء الاعمال ويضمن الطرف الثاني الأعمال المنفذة من قبله لمدة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سنة من تاريخ هذه المخالصة النهائية الموقعة </w:t>
      </w:r>
      <w:r>
        <w:rPr>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 </w:t>
      </w:r>
      <w:r>
        <w:rPr>
          <w:rtl w:val="true"/>
        </w:rPr>
        <w:t>في حال وجود اختبارات تثبيت الزوايا أو الخوابير في الحوائط أو اختبار تثبيت بلاطات الرخام أو الحجر على الواجهة ككل؛ يتحمل تكاليف هذه الاختبارات من مختبرات مستقلة الطرف الثاني</w:t>
      </w:r>
      <w:r>
        <w:rPr>
          <w:rtl w:val="true"/>
        </w:rPr>
        <w:t>.</w:t>
      </w:r>
    </w:p>
    <w:p>
      <w:pPr>
        <w:pStyle w:val="BodyText"/>
        <w:bidi w:val="1"/>
        <w:spacing w:before="0" w:after="0"/>
        <w:ind w:hanging="0" w:left="0" w:right="0"/>
        <w:jc w:val="left"/>
        <w:rPr/>
      </w:pPr>
      <w:r>
        <w:rPr/>
        <w:t>2</w:t>
      </w:r>
      <w:r>
        <w:rPr>
          <w:rtl w:val="true"/>
        </w:rPr>
        <w:t xml:space="preserve"> – </w:t>
      </w:r>
      <w:r>
        <w:rPr>
          <w:rtl w:val="true"/>
        </w:rPr>
        <w:t>يلتزم الطرف الثاني بتنبيه الطرف الأول بحجز الكمية المطلوبة من الحجر أو الرخام لكامل المبنى؛ حتى لا يكون هناك نقص في الكمية من النوع المعتمَد</w:t>
      </w:r>
      <w:r>
        <w:rPr>
          <w:rtl w:val="true"/>
        </w:rPr>
        <w:t>.</w:t>
      </w:r>
    </w:p>
    <w:p>
      <w:pPr>
        <w:pStyle w:val="BodyText"/>
        <w:bidi w:val="1"/>
        <w:spacing w:before="0" w:after="0"/>
        <w:ind w:hanging="0" w:left="0" w:right="0"/>
        <w:jc w:val="left"/>
        <w:rPr/>
      </w:pPr>
      <w:r>
        <w:rPr/>
        <w:t>3</w:t>
      </w:r>
      <w:r>
        <w:rPr>
          <w:rtl w:val="true"/>
        </w:rPr>
        <w:t xml:space="preserve"> – </w:t>
      </w:r>
      <w:r>
        <w:rPr>
          <w:rtl w:val="true"/>
        </w:rPr>
        <w:t>في حالة وجود أي قطعة رخام أو حجر نافرة وغير متجانسة مع الواجهة ككل؛ يلتزم الطرف الثاني بتنبيه الطرف الأول لاستبدالها بأخرى تتجانس وتتوافق مع الواجهة ككل</w:t>
      </w:r>
      <w:r>
        <w:rPr>
          <w:rtl w:val="true"/>
        </w:rPr>
        <w:t>.</w:t>
      </w:r>
    </w:p>
    <w:p>
      <w:pPr>
        <w:pStyle w:val="BodyText"/>
        <w:bidi w:val="1"/>
        <w:spacing w:before="0" w:after="0"/>
        <w:ind w:hanging="0" w:left="0" w:right="0"/>
        <w:jc w:val="left"/>
        <w:rPr/>
      </w:pPr>
      <w:r>
        <w:rPr/>
        <w:t>4</w:t>
      </w:r>
      <w:r>
        <w:rPr>
          <w:rtl w:val="true"/>
        </w:rPr>
        <w:t xml:space="preserve"> – </w:t>
      </w:r>
      <w:r>
        <w:rPr>
          <w:rtl w:val="true"/>
        </w:rPr>
        <w:t xml:space="preserve">إذا تم توقيع هذا العقد بين الطرفين؛ فإن أتعاب التصميم الواردة في بند رقم </w:t>
      </w:r>
      <w:r>
        <w:rPr/>
        <w:t>3</w:t>
      </w:r>
      <w:r>
        <w:rPr>
          <w:rtl w:val="true"/>
        </w:rPr>
        <w:t>-</w:t>
      </w:r>
      <w:r>
        <w:rPr/>
        <w:t>1</w:t>
      </w:r>
      <w:r>
        <w:rPr>
          <w:rtl w:val="true"/>
        </w:rPr>
        <w:t xml:space="preserve">من ملحق الشروط الخاصة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rtl w:val="true"/>
        </w:rPr>
        <w:t>يلتزم الطرف الثاني بتخزين وتوزيع جميع المواد المطلوبة للتنفيذ في أماكن وظروف صحيحة، وبشكل آمن للعمال، ولا يُعيق تنفيذ الأعمال أو الجيران والشوارع المحيطة بالمشروع</w:t>
      </w:r>
      <w:r>
        <w:rPr>
          <w:rtl w:val="true"/>
        </w:rPr>
        <w:t>.</w:t>
      </w:r>
    </w:p>
    <w:p>
      <w:pPr>
        <w:pStyle w:val="BodyText"/>
        <w:bidi w:val="1"/>
        <w:spacing w:before="0" w:after="0"/>
        <w:ind w:hanging="0" w:left="0" w:right="0"/>
        <w:jc w:val="left"/>
        <w:rPr/>
      </w:pPr>
      <w:r>
        <w:rPr/>
        <w:t>6</w:t>
      </w:r>
      <w:r>
        <w:rPr>
          <w:rtl w:val="true"/>
        </w:rPr>
        <w:t xml:space="preserve"> –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أيّ عمل من الأعمال القابلة للتغطية</w:t>
      </w:r>
      <w:r>
        <w:rPr>
          <w:rtl w:val="true"/>
        </w:rPr>
        <w:t xml:space="preserve">. </w:t>
      </w:r>
      <w:r>
        <w:rPr>
          <w:rtl w:val="true"/>
        </w:rPr>
        <w:t>وذلك لتمكين مشرف المشروع من الحضور؛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7</w:t>
      </w:r>
      <w:r>
        <w:rPr>
          <w:rtl w:val="true"/>
        </w:rPr>
        <w:t xml:space="preserve"> –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التعليمات السابقة لمشرف المشروع</w:t>
      </w:r>
      <w:r>
        <w:rPr>
          <w:rtl w:val="true"/>
        </w:rPr>
        <w:t>.</w:t>
      </w:r>
    </w:p>
    <w:p>
      <w:pPr>
        <w:pStyle w:val="BodyText"/>
        <w:bidi w:val="1"/>
        <w:spacing w:before="0" w:after="0"/>
        <w:ind w:hanging="0" w:left="0" w:right="0"/>
        <w:jc w:val="left"/>
        <w:rPr/>
      </w:pPr>
      <w:r>
        <w:rPr/>
        <w:t>8</w:t>
      </w:r>
      <w:r>
        <w:rPr>
          <w:rtl w:val="true"/>
        </w:rPr>
        <w:t xml:space="preserve"> – </w:t>
      </w:r>
      <w:r>
        <w:rPr>
          <w:rtl w:val="true"/>
        </w:rPr>
        <w:t>الأعمال المخالفة لوثائق العقد، أو المنفَّذة من دون إذن أو استلام كتابي من مشرف المشروع؛ فللطرف الأول أو من يمثله الحق في إزالتها وتنفيذها مرة أخرى وفق الأصول الهندسية على حساب الطرف الثاني</w:t>
      </w:r>
      <w:r>
        <w:rPr>
          <w:rtl w:val="true"/>
        </w:rPr>
        <w:t>.</w:t>
      </w:r>
    </w:p>
    <w:p>
      <w:pPr>
        <w:pStyle w:val="BodyText"/>
        <w:bidi w:val="1"/>
        <w:spacing w:before="0" w:after="0"/>
        <w:ind w:hanging="0" w:left="0" w:right="0"/>
        <w:jc w:val="left"/>
        <w:rPr/>
      </w:pPr>
      <w:r>
        <w:rPr/>
        <w:t>9</w:t>
      </w:r>
      <w:r>
        <w:rPr>
          <w:rtl w:val="true"/>
        </w:rPr>
        <w:t xml:space="preserve"> – </w:t>
      </w:r>
      <w:r>
        <w:rPr>
          <w:rtl w:val="true"/>
        </w:rPr>
        <w:t>الأعمال التي نفّذها الطرف الثاني حسب وثائق العقد، ويرغب الطرف الأول في تعديلها أو الطلب من الطرف الثاني إزالتها؛ 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10</w:t>
      </w:r>
      <w:r>
        <w:rPr>
          <w:rtl w:val="true"/>
        </w:rPr>
        <w:t xml:space="preserve"> – </w:t>
      </w:r>
      <w:r>
        <w:rPr>
          <w:rtl w:val="true"/>
        </w:rPr>
        <w:t>عند نهاية أعمال مرحلة من المشروع أو المشروع كاملاً يلتزم الطرفان بما يلي</w:t>
      </w:r>
      <w:r>
        <w:rPr>
          <w:rtl w:val="true"/>
        </w:rPr>
        <w:t>:</w:t>
      </w:r>
    </w:p>
    <w:p>
      <w:pPr>
        <w:pStyle w:val="BodyText"/>
        <w:bidi w:val="1"/>
        <w:spacing w:before="0" w:after="0"/>
        <w:ind w:hanging="0" w:left="0" w:right="0"/>
        <w:jc w:val="left"/>
        <w:rPr/>
      </w:pPr>
      <w:r>
        <w:rPr/>
        <w:t>10</w:t>
      </w:r>
      <w:r>
        <w:rPr>
          <w:rtl w:val="true"/>
        </w:rPr>
        <w:t xml:space="preserve"> – </w:t>
      </w:r>
      <w:r>
        <w:rPr/>
        <w:t>1</w:t>
      </w:r>
      <w:r>
        <w:rPr>
          <w:rtl w:val="true"/>
        </w:rPr>
        <w:t xml:space="preserve"> </w:t>
      </w:r>
      <w:r>
        <w:rPr>
          <w:rtl w:val="true"/>
        </w:rPr>
        <w:t>يقوم الطرف الثاني بإشعار الطرف الأول كتابيًّا فور انتهاء نطاق عمله</w:t>
      </w:r>
      <w:r>
        <w:rPr>
          <w:rtl w:val="true"/>
        </w:rPr>
        <w:t>.</w:t>
      </w:r>
    </w:p>
    <w:p>
      <w:pPr>
        <w:pStyle w:val="BodyText"/>
        <w:bidi w:val="1"/>
        <w:spacing w:before="0" w:after="0"/>
        <w:ind w:hanging="0" w:left="0" w:right="0"/>
        <w:jc w:val="left"/>
        <w:rPr/>
      </w:pPr>
      <w:r>
        <w:rPr/>
        <w:t>10</w:t>
      </w:r>
      <w:r>
        <w:rPr>
          <w:rtl w:val="true"/>
        </w:rPr>
        <w:t xml:space="preserve"> – </w:t>
      </w:r>
      <w:r>
        <w:rPr/>
        <w:t>2</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وفي حالة تسجيل مُلاحظات يُمهَل الطرف الثاني مدة زمنية لإنهاء الملاحظات لا تزيد عن أسبوعين من تاريخ استلام الطرف الثاني للملاحظات</w:t>
      </w:r>
      <w:r>
        <w:rPr>
          <w:rtl w:val="true"/>
        </w:rPr>
        <w:t>.</w:t>
      </w:r>
    </w:p>
    <w:p>
      <w:pPr>
        <w:pStyle w:val="BodyText"/>
        <w:bidi w:val="1"/>
        <w:spacing w:before="0" w:after="0"/>
        <w:ind w:hanging="0" w:left="0" w:right="0"/>
        <w:jc w:val="left"/>
        <w:rPr/>
      </w:pPr>
      <w:r>
        <w:rPr/>
        <w:t>10</w:t>
      </w:r>
      <w:r>
        <w:rPr>
          <w:rtl w:val="true"/>
        </w:rPr>
        <w:t xml:space="preserve"> – </w:t>
      </w:r>
      <w:r>
        <w:rPr/>
        <w:t>3</w:t>
      </w:r>
      <w:r>
        <w:rPr>
          <w:rtl w:val="true"/>
        </w:rPr>
        <w:t xml:space="preserve"> </w:t>
      </w:r>
      <w:r>
        <w:rPr>
          <w:rtl w:val="true"/>
        </w:rPr>
        <w:t>في حال عدم استلام الطرف الأول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11</w:t>
      </w:r>
      <w:r>
        <w:rPr>
          <w:rtl w:val="true"/>
        </w:rPr>
        <w:t xml:space="preserve"> – </w:t>
      </w:r>
      <w:r>
        <w:rPr>
          <w:rtl w:val="true"/>
        </w:rPr>
        <w:t>يلتزم الطرف الثاني بعدم توريد واستخدام أيّ مادة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12</w:t>
      </w:r>
      <w:r>
        <w:rPr>
          <w:rtl w:val="true"/>
        </w:rPr>
        <w:t xml:space="preserve"> – </w:t>
      </w:r>
      <w:r>
        <w:rPr>
          <w:rtl w:val="true"/>
        </w:rPr>
        <w:t>ويجب مراعاة النقاط التالية في تركيب الرخام أو الحجر أو أي نوع اخر من أنواع التكسية الخارجية</w:t>
      </w:r>
      <w:r>
        <w:rPr>
          <w:rtl w:val="true"/>
        </w:rPr>
        <w:t>:</w:t>
      </w:r>
    </w:p>
    <w:p>
      <w:pPr>
        <w:pStyle w:val="BodyText"/>
        <w:bidi w:val="1"/>
        <w:spacing w:before="0" w:after="0"/>
        <w:ind w:hanging="0" w:left="0" w:right="0"/>
        <w:jc w:val="left"/>
        <w:rPr/>
      </w:pPr>
      <w:r>
        <w:rPr/>
        <w:t>12</w:t>
      </w:r>
      <w:r>
        <w:rPr>
          <w:rtl w:val="true"/>
        </w:rPr>
        <w:t xml:space="preserve"> – </w:t>
      </w:r>
      <w:r>
        <w:rPr/>
        <w:t>1</w:t>
      </w:r>
      <w:r>
        <w:rPr>
          <w:rtl w:val="true"/>
        </w:rPr>
        <w:t xml:space="preserve"> </w:t>
      </w:r>
      <w:r>
        <w:rPr>
          <w:rtl w:val="true"/>
        </w:rPr>
        <w:t>عدم استخدام المسامير أو تثبيت القضيب الحديدي في حالة تركيب الرخام بمقاسات صغيره ومسطحات قليله</w:t>
      </w:r>
      <w:r>
        <w:rPr>
          <w:rtl w:val="true"/>
        </w:rPr>
        <w:t>.</w:t>
      </w:r>
    </w:p>
    <w:p>
      <w:pPr>
        <w:pStyle w:val="BodyText"/>
        <w:bidi w:val="1"/>
        <w:spacing w:before="0" w:after="0"/>
        <w:ind w:hanging="0" w:left="0" w:right="0"/>
        <w:jc w:val="left"/>
        <w:rPr/>
      </w:pPr>
      <w:r>
        <w:rPr/>
        <w:t>12</w:t>
      </w:r>
      <w:r>
        <w:rPr>
          <w:rtl w:val="true"/>
        </w:rPr>
        <w:t xml:space="preserve"> – </w:t>
      </w:r>
      <w:r>
        <w:rPr/>
        <w:t>2</w:t>
      </w:r>
      <w:r>
        <w:rPr>
          <w:rtl w:val="true"/>
        </w:rPr>
        <w:t xml:space="preserve"> </w:t>
      </w:r>
      <w:r>
        <w:rPr>
          <w:rtl w:val="true"/>
        </w:rPr>
        <w:t xml:space="preserve">يجب حف </w:t>
      </w:r>
      <w:r>
        <w:rPr>
          <w:rtl w:val="true"/>
        </w:rPr>
        <w:t>(</w:t>
      </w:r>
      <w:r>
        <w:rPr>
          <w:rtl w:val="true"/>
        </w:rPr>
        <w:t>برم</w:t>
      </w:r>
      <w:r>
        <w:rPr>
          <w:rtl w:val="true"/>
        </w:rPr>
        <w:t xml:space="preserve">) </w:t>
      </w:r>
      <w:r>
        <w:rPr>
          <w:rtl w:val="true"/>
        </w:rPr>
        <w:t>الجانب الخارجي للرخام في حالة الأبواب</w:t>
      </w:r>
      <w:r>
        <w:rPr>
          <w:rtl w:val="true"/>
        </w:rPr>
        <w:t>.</w:t>
      </w:r>
    </w:p>
    <w:p>
      <w:pPr>
        <w:pStyle w:val="BodyText"/>
        <w:bidi w:val="1"/>
        <w:spacing w:before="0" w:after="0"/>
        <w:ind w:hanging="0" w:left="0" w:right="0"/>
        <w:jc w:val="left"/>
        <w:rPr/>
      </w:pPr>
      <w:r>
        <w:rPr/>
        <w:t>12</w:t>
      </w:r>
      <w:r>
        <w:rPr>
          <w:rtl w:val="true"/>
        </w:rPr>
        <w:t xml:space="preserve"> – </w:t>
      </w:r>
      <w:r>
        <w:rPr/>
        <w:t>3</w:t>
      </w:r>
      <w:r>
        <w:rPr>
          <w:rtl w:val="true"/>
        </w:rPr>
        <w:t xml:space="preserve"> </w:t>
      </w:r>
      <w:r>
        <w:rPr>
          <w:rtl w:val="true"/>
        </w:rPr>
        <w:t>التأكد من تمام حشو الفراغات بين الرخام والحوائط على أن يتم الترويب على مراحل</w:t>
      </w:r>
      <w:r>
        <w:rPr>
          <w:rtl w:val="true"/>
        </w:rPr>
        <w:t>.</w:t>
      </w:r>
    </w:p>
    <w:p>
      <w:pPr>
        <w:pStyle w:val="BodyText"/>
        <w:bidi w:val="1"/>
        <w:spacing w:before="0" w:after="0"/>
        <w:ind w:hanging="0" w:left="0" w:right="0"/>
        <w:jc w:val="left"/>
        <w:rPr/>
      </w:pPr>
      <w:r>
        <w:rPr/>
        <w:t>12</w:t>
      </w:r>
      <w:r>
        <w:rPr>
          <w:rtl w:val="true"/>
        </w:rPr>
        <w:t xml:space="preserve"> – </w:t>
      </w:r>
      <w:r>
        <w:rPr/>
        <w:t>4</w:t>
      </w:r>
      <w:r>
        <w:rPr>
          <w:rtl w:val="true"/>
        </w:rPr>
        <w:t xml:space="preserve"> </w:t>
      </w:r>
      <w:r>
        <w:rPr>
          <w:rtl w:val="true"/>
        </w:rPr>
        <w:t>الحرص على إزالة جميع أربطة الجبس بعد الانتهاء من الترويب</w:t>
      </w:r>
      <w:r>
        <w:rPr>
          <w:rtl w:val="true"/>
        </w:rPr>
        <w:t>.</w:t>
      </w:r>
    </w:p>
    <w:p>
      <w:pPr>
        <w:pStyle w:val="BodyText"/>
        <w:bidi w:val="1"/>
        <w:spacing w:before="0" w:after="0"/>
        <w:ind w:hanging="0" w:left="0" w:right="0"/>
        <w:jc w:val="left"/>
        <w:rPr/>
      </w:pPr>
      <w:r>
        <w:rPr/>
        <w:t>13</w:t>
      </w:r>
      <w:r>
        <w:rPr>
          <w:rtl w:val="true"/>
        </w:rPr>
        <w:t xml:space="preserve"> – </w:t>
      </w:r>
      <w:r>
        <w:rPr>
          <w:rtl w:val="true"/>
        </w:rPr>
        <w:t xml:space="preserve">تعليمات أخرى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 xml:space="preserve"> – </w:t>
      </w:r>
      <w:r>
        <w:rPr>
          <w:rtl w:val="true"/>
        </w:rPr>
        <w:t xml:space="preserve">الرخام أو الحجر </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 xml:space="preserve">يحظر تركيب الرخام أو الحجر للواجهات بالمونة </w:t>
      </w:r>
      <w:r>
        <w:rPr>
          <w:rtl w:val="true"/>
        </w:rPr>
        <w:t>(</w:t>
      </w:r>
      <w:r>
        <w:rPr>
          <w:rtl w:val="true"/>
        </w:rPr>
        <w:t>الخلطة</w:t>
      </w:r>
      <w:r>
        <w:rPr>
          <w:rtl w:val="true"/>
        </w:rPr>
        <w:t xml:space="preserve">). </w:t>
      </w:r>
      <w:r>
        <w:rPr>
          <w:rtl w:val="true"/>
        </w:rPr>
        <w:t xml:space="preserve">ويكون التركيب للرخام أو الحجر بإحدى هاتين الطريقتين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 xml:space="preserve">طريقة تركيب الزوايا في بلاطات الرخام أو الحجر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 xml:space="preserve">طريقة التقاء البلاطات أو الحجر في الواجهات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 </w:t>
      </w:r>
      <w:r>
        <w:rPr>
          <w:rtl w:val="true"/>
        </w:rPr>
        <w:t xml:space="preserve">الغراء </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تُملأ كافة الشقوق والأخرام بالغراء بشكل كامل</w:t>
      </w:r>
      <w:r>
        <w:rPr>
          <w:rtl w:val="true"/>
        </w:rPr>
        <w:t>.</w:t>
      </w:r>
    </w:p>
    <w:p>
      <w:pPr>
        <w:pStyle w:val="BodyText"/>
        <w:bidi w:val="1"/>
        <w:spacing w:before="0" w:after="0"/>
        <w:ind w:hanging="0" w:left="0" w:right="0"/>
        <w:jc w:val="left"/>
        <w:rPr/>
      </w:pPr>
      <w:r>
        <w:rPr/>
        <w:t>3</w:t>
      </w:r>
      <w:r>
        <w:rPr>
          <w:rtl w:val="true"/>
        </w:rPr>
        <w:t xml:space="preserve"> – </w:t>
      </w:r>
      <w:r>
        <w:rPr>
          <w:rtl w:val="true"/>
        </w:rPr>
        <w:t>المواد المعدنية مثل الزوايا أو البراغي أو خلافه</w:t>
      </w:r>
      <w:r>
        <w:rPr>
          <w:rtl w:val="true"/>
        </w:rPr>
        <w:t>.</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مقاسات وسماكات الزوايا والمسامير يلزم أن تكون حسب حجم ووزن الرخام أو الحجر – ويلزم اعتمادها من الطرف الأول أو من يمثله قبل التركيب</w:t>
      </w:r>
      <w:r>
        <w:rPr>
          <w:rtl w:val="true"/>
        </w:rPr>
        <w:t>.</w:t>
      </w:r>
    </w:p>
    <w:p>
      <w:pPr>
        <w:pStyle w:val="BodyText"/>
        <w:bidi w:val="1"/>
        <w:spacing w:before="0" w:after="0"/>
        <w:ind w:hanging="0" w:left="0" w:right="0"/>
        <w:jc w:val="left"/>
        <w:rPr/>
      </w:pPr>
      <w:r>
        <w:rPr/>
        <w:t>4</w:t>
      </w:r>
      <w:r>
        <w:rPr>
          <w:rtl w:val="true"/>
        </w:rPr>
        <w:t xml:space="preserve"> – </w:t>
      </w:r>
      <w:r>
        <w:rPr>
          <w:rtl w:val="true"/>
        </w:rPr>
        <w:t xml:space="preserve">اشتراطات أخرى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 </w:t>
      </w:r>
      <w:r>
        <w:rPr>
          <w:rtl w:val="true"/>
        </w:rPr>
        <w:t>يلزم قبل البدء وزن مستوى واستقامة الواجهات أفقيًّا وعاموديًّا</w:t>
      </w:r>
      <w:r>
        <w:rPr>
          <w:rtl w:val="true"/>
        </w:rPr>
        <w:t xml:space="preserve">. </w:t>
      </w:r>
      <w:r>
        <w:rPr>
          <w:rtl w:val="true"/>
        </w:rPr>
        <w:t>وذلك من أعلى نقطة في السترة إلى الأرض نزولاً</w:t>
      </w:r>
      <w:r>
        <w:rPr>
          <w:rtl w:val="true"/>
        </w:rPr>
        <w:t xml:space="preserve">. </w:t>
      </w:r>
      <w:r>
        <w:rPr>
          <w:rtl w:val="true"/>
        </w:rPr>
        <w:t>ومن أقصى زاوية المبنى في اليمين إلى أقصى زاويته الأخرى</w:t>
      </w:r>
      <w:r>
        <w:rPr>
          <w:rtl w:val="true"/>
        </w:rPr>
        <w:t xml:space="preserve">. </w:t>
      </w:r>
      <w:r>
        <w:rPr>
          <w:rtl w:val="true"/>
        </w:rPr>
        <w:t xml:space="preserve">بحيث يمكن تحديد الفراغ المناسب </w:t>
      </w:r>
      <w:r>
        <w:rPr>
          <w:rtl w:val="true"/>
        </w:rPr>
        <w:t>(</w:t>
      </w:r>
      <w:r>
        <w:rPr>
          <w:rtl w:val="true"/>
        </w:rPr>
        <w:t xml:space="preserve">من </w:t>
      </w:r>
      <w:r>
        <w:rPr/>
        <w:t>3</w:t>
      </w:r>
      <w:r>
        <w:rPr>
          <w:rtl w:val="true"/>
        </w:rPr>
        <w:t>-</w:t>
      </w:r>
      <w:r>
        <w:rPr/>
        <w:t>4</w:t>
      </w:r>
      <w:r>
        <w:rPr>
          <w:rtl w:val="true"/>
        </w:rPr>
        <w:t xml:space="preserve"> </w:t>
      </w:r>
      <w:r>
        <w:rPr>
          <w:rtl w:val="true"/>
        </w:rPr>
        <w:t>سم</w:t>
      </w:r>
      <w:r>
        <w:rPr>
          <w:rtl w:val="true"/>
        </w:rPr>
        <w:t xml:space="preserve">) </w:t>
      </w:r>
      <w:r>
        <w:rPr>
          <w:rtl w:val="true"/>
        </w:rPr>
        <w:t>خلف الرخام أو الحجر بشكل يضمن وزنية صفوف الرخام أو الحجر لاحقًا</w:t>
      </w:r>
      <w:r>
        <w:rPr>
          <w:rtl w:val="true"/>
        </w:rPr>
        <w:t>.</w:t>
      </w:r>
    </w:p>
    <w:p>
      <w:pPr>
        <w:pStyle w:val="BodyText"/>
        <w:bidi w:val="1"/>
        <w:spacing w:before="0" w:after="0"/>
        <w:ind w:hanging="0" w:left="0" w:right="0"/>
        <w:jc w:val="left"/>
        <w:rPr/>
      </w:pPr>
      <w:r>
        <w:rPr/>
        <w:t>2</w:t>
      </w:r>
      <w:r>
        <w:rPr>
          <w:rtl w:val="true"/>
        </w:rPr>
        <w:t xml:space="preserve"> – </w:t>
      </w:r>
      <w:r>
        <w:rPr>
          <w:rtl w:val="true"/>
        </w:rPr>
        <w:t>قبل التركيب وإضافة الغراء يلزم تنظيف كافة الأخرام والشقوق في البلاطات، أو تلك التي في الحوائط بالهواء المضغوط</w:t>
      </w:r>
      <w:r>
        <w:rPr>
          <w:rtl w:val="true"/>
        </w:rPr>
        <w:t xml:space="preserve">. </w:t>
      </w:r>
      <w:r>
        <w:rPr>
          <w:rtl w:val="true"/>
        </w:rPr>
        <w:t>إضافة إلى تنظيف وصنفرة حواف البلاطات وسطحها من أيّ نتوءات أو غبار أو رايش قبل التركيب</w:t>
      </w:r>
      <w:r>
        <w:rPr>
          <w:rtl w:val="true"/>
        </w:rPr>
        <w:t>.</w:t>
      </w:r>
    </w:p>
    <w:p>
      <w:pPr>
        <w:pStyle w:val="BodyText"/>
        <w:bidi w:val="1"/>
        <w:spacing w:before="0" w:after="0"/>
        <w:ind w:hanging="0" w:left="0" w:right="0"/>
        <w:jc w:val="left"/>
        <w:rPr/>
      </w:pPr>
      <w:r>
        <w:rPr/>
        <w:t>3</w:t>
      </w:r>
      <w:r>
        <w:rPr>
          <w:rtl w:val="true"/>
        </w:rPr>
        <w:t xml:space="preserve"> – </w:t>
      </w:r>
      <w:r>
        <w:rPr>
          <w:rtl w:val="true"/>
        </w:rPr>
        <w:t>يلزم أن تكون البلاطة الواحدة من الرخام أو الحجر مستقلة في التحميل على الحائط عن بقية البلاطات في الواجهة</w:t>
      </w:r>
      <w:r>
        <w:rPr>
          <w:rtl w:val="true"/>
        </w:rPr>
        <w:t xml:space="preserve">. </w:t>
      </w:r>
      <w:r>
        <w:rPr>
          <w:rtl w:val="true"/>
        </w:rPr>
        <w:t>ويُحظر عمل صفّ من الرخام أو الحجر أسفل الواجهة، وتحميل كافة بلاطات الواجهة عليه</w:t>
      </w:r>
      <w:r>
        <w:rPr>
          <w:rtl w:val="true"/>
        </w:rPr>
        <w:t>.</w:t>
      </w:r>
    </w:p>
    <w:p>
      <w:pPr>
        <w:pStyle w:val="BodyText"/>
        <w:bidi w:val="1"/>
        <w:spacing w:before="0" w:after="0"/>
        <w:ind w:hanging="0" w:left="0" w:right="0"/>
        <w:jc w:val="left"/>
        <w:rPr/>
      </w:pPr>
      <w:r>
        <w:rPr/>
        <w:t>4</w:t>
      </w:r>
      <w:r>
        <w:rPr>
          <w:rtl w:val="true"/>
        </w:rPr>
        <w:t xml:space="preserve"> – </w:t>
      </w:r>
      <w:r>
        <w:rPr>
          <w:rtl w:val="true"/>
        </w:rPr>
        <w:t xml:space="preserve">الفراغ بين الواجهة وبين البلاط أو الحجر في الدور الأرضي أو السور الخارجي </w:t>
      </w:r>
      <w:r>
        <w:rPr>
          <w:rtl w:val="true"/>
        </w:rPr>
        <w:t xml:space="preserve">- </w:t>
      </w:r>
      <w:r>
        <w:rPr>
          <w:rtl w:val="true"/>
        </w:rPr>
        <w:t>وعلى ارتفاع متر تقريبًا من الأرض</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rtl w:val="true"/>
        </w:rPr>
        <w:t xml:space="preserve">إذا كان عرض بلاطة الرخام أو الحجر أكثر من </w:t>
      </w:r>
      <w:r>
        <w:rPr/>
        <w:t>40</w:t>
      </w:r>
      <w:r>
        <w:rPr>
          <w:rtl w:val="true"/>
        </w:rPr>
        <w:t>سم؛ يلزم تثبيت الزوايا من الأعلى في كل بلاطة بزاويتين على الأقل</w:t>
      </w:r>
      <w:r>
        <w:rPr>
          <w:rtl w:val="true"/>
        </w:rPr>
        <w:t xml:space="preserve">. </w:t>
      </w:r>
      <w:r>
        <w:rPr>
          <w:rtl w:val="true"/>
        </w:rPr>
        <w:t>كما يلزم تثبيت نفس البلاطة بزاويتين إضافيتين؛ إحداهما في الجانب الأيمن للبلاطة، والأخرى في الجانب الأيسر</w:t>
      </w:r>
      <w:r>
        <w:rPr>
          <w:rtl w:val="true"/>
        </w:rPr>
        <w:t xml:space="preserve">. </w:t>
      </w:r>
      <w:r>
        <w:rPr>
          <w:rtl w:val="true"/>
        </w:rPr>
        <w:t>وذلك حتى يمكن تثبيت كافة البلاطات من الأجناب أيضًا مع بعضها البعض في الصف الواحد</w:t>
      </w:r>
      <w:r>
        <w:rPr>
          <w:rtl w:val="true"/>
        </w:rPr>
        <w:t>.</w:t>
      </w:r>
    </w:p>
    <w:p>
      <w:pPr>
        <w:pStyle w:val="BodyText"/>
        <w:bidi w:val="1"/>
        <w:spacing w:before="0" w:after="0"/>
        <w:ind w:hanging="0" w:left="0" w:right="0"/>
        <w:jc w:val="left"/>
        <w:rPr/>
      </w:pPr>
      <w:r>
        <w:rPr/>
        <w:t>6</w:t>
      </w:r>
      <w:r>
        <w:rPr>
          <w:rtl w:val="true"/>
        </w:rPr>
        <w:t xml:space="preserve"> – </w:t>
      </w:r>
      <w:r>
        <w:rPr>
          <w:rtl w:val="true"/>
        </w:rPr>
        <w:t xml:space="preserve">عند التقاء بلاطتين من الرخام أو الحجر لتشكيل زاوية قائمة؛ فإن تفصيلة عمل الزاوية يكون كالتالي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7</w:t>
      </w:r>
      <w:r>
        <w:rPr>
          <w:rtl w:val="true"/>
        </w:rPr>
        <w:t xml:space="preserve"> – </w:t>
      </w:r>
      <w:r>
        <w:rPr>
          <w:rtl w:val="true"/>
        </w:rPr>
        <w:t>عند التركيب تُوزن كل بلاطة أفقيًا ورأسيًا بميزان الماء اليدوي؛ لضمان تساوي وتوازن الصفوف أفقيًّا وعاموديًّا</w:t>
      </w:r>
      <w:r>
        <w:rPr>
          <w:rtl w:val="true"/>
        </w:rPr>
        <w:t>.</w:t>
      </w:r>
    </w:p>
    <w:p>
      <w:pPr>
        <w:pStyle w:val="BodyText"/>
        <w:bidi w:val="1"/>
        <w:spacing w:before="0" w:after="0"/>
        <w:ind w:hanging="0" w:left="0" w:right="0"/>
        <w:jc w:val="left"/>
        <w:rPr/>
      </w:pPr>
      <w:r>
        <w:rPr/>
        <w:t>8</w:t>
      </w:r>
      <w:r>
        <w:rPr>
          <w:rtl w:val="true"/>
        </w:rPr>
        <w:t xml:space="preserve"> – </w:t>
      </w:r>
      <w:r>
        <w:rPr>
          <w:rtl w:val="true"/>
        </w:rPr>
        <w:t>يستمر العمل في التركيب على الواجهات مع استمرار وجود الخيوط الموزونة أفقيًّا وعموديًا؛ لضمان الحصول على واجهة كاملة موزونة تمامًا في كل اتجاه</w:t>
      </w:r>
      <w:r>
        <w:rPr>
          <w:rtl w:val="true"/>
        </w:rPr>
        <w:t>.</w:t>
      </w:r>
    </w:p>
    <w:p>
      <w:pPr>
        <w:pStyle w:val="BodyText"/>
        <w:bidi w:val="1"/>
        <w:spacing w:before="0" w:after="0"/>
        <w:ind w:hanging="0" w:left="0" w:right="0"/>
        <w:jc w:val="left"/>
        <w:rPr/>
      </w:pPr>
      <w:r>
        <w:rPr/>
        <w:t>9</w:t>
      </w:r>
      <w:r>
        <w:rPr>
          <w:rtl w:val="true"/>
        </w:rPr>
        <w:t xml:space="preserve"> – </w:t>
      </w:r>
      <w:r>
        <w:rPr>
          <w:rtl w:val="true"/>
        </w:rPr>
        <w:t>في حال وجود غطاء من الرخام أو الحجر أعلى السترة أو السور؛ يلزم أن يكون مائلاً للخارج</w:t>
      </w:r>
      <w:r>
        <w:rPr>
          <w:rtl w:val="true"/>
        </w:rPr>
        <w:t xml:space="preserve">. </w:t>
      </w:r>
      <w:r>
        <w:rPr>
          <w:rtl w:val="true"/>
        </w:rPr>
        <w:t xml:space="preserve">في حال كان طرف هذا الغطاء بارزًا عن مستوى الواجهة فتكون تفصيلة هذا الجزء البارز كما يلي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10</w:t>
      </w:r>
      <w:r>
        <w:rPr>
          <w:rtl w:val="true"/>
        </w:rPr>
        <w:t xml:space="preserve"> – </w:t>
      </w:r>
      <w:r>
        <w:rPr>
          <w:rtl w:val="true"/>
        </w:rPr>
        <w:t>في حال وجود قطع ديكورية ثقيلة أعلى الواجهات أو الأسوار أو البوابات وتكون مائلة للأسفل؛ مثل التيجان أو الكرانيش؛ يلزم عمل احتياطات إضافية لتركيب مثل هذه القطع</w:t>
      </w:r>
      <w:r>
        <w:rPr>
          <w:rtl w:val="true"/>
        </w:rPr>
        <w:t xml:space="preserve">. </w:t>
      </w:r>
      <w:r>
        <w:rPr>
          <w:rtl w:val="true"/>
        </w:rPr>
        <w:t xml:space="preserve">وذلك بتثبيتها في الحائط بزوايا ومسامير مسننة لا تقل سماكتها عن </w:t>
      </w:r>
      <w:r>
        <w:rPr/>
        <w:t>16</w:t>
      </w:r>
      <w:r>
        <w:rPr>
          <w:rtl w:val="true"/>
        </w:rPr>
        <w:t xml:space="preserve"> </w:t>
      </w:r>
      <w:r>
        <w:rPr>
          <w:rtl w:val="true"/>
        </w:rPr>
        <w:t xml:space="preserve">مم، ولا يقل عددها عن </w:t>
      </w:r>
      <w:r>
        <w:rPr>
          <w:rtl w:val="true"/>
        </w:rPr>
        <w:t>(</w:t>
      </w:r>
      <w:r>
        <w:rPr/>
        <w:t>5</w:t>
      </w:r>
      <w:r>
        <w:rPr>
          <w:rtl w:val="true"/>
        </w:rPr>
        <w:t xml:space="preserve">) </w:t>
      </w:r>
      <w:r>
        <w:rPr>
          <w:rtl w:val="true"/>
        </w:rPr>
        <w:t>مسامير؛ أحدها في وسط القطعة</w:t>
      </w:r>
      <w:r>
        <w:rPr>
          <w:rtl w:val="true"/>
        </w:rPr>
        <w:t>.</w:t>
      </w:r>
    </w:p>
    <w:p>
      <w:pPr>
        <w:pStyle w:val="BodyText"/>
        <w:bidi w:val="1"/>
        <w:spacing w:before="0" w:after="0"/>
        <w:ind w:hanging="0" w:left="0" w:right="0"/>
        <w:jc w:val="left"/>
        <w:rPr/>
      </w:pPr>
      <w:r>
        <w:rPr/>
        <w:t>11</w:t>
      </w:r>
      <w:r>
        <w:rPr>
          <w:rtl w:val="true"/>
        </w:rPr>
        <w:t xml:space="preserve"> – </w:t>
      </w:r>
      <w:r>
        <w:rPr>
          <w:rtl w:val="true"/>
        </w:rPr>
        <w:t>خلال مرحلة التركيب للرخام أو الحجر؛ يجوز للطرف الأول عمل كافة أنواع الاختبارات الخاصة بشدة الثبات والتماسك للزوايا والمسامير أو الخوابير المثبتة في الحوائط</w:t>
      </w:r>
      <w:r>
        <w:rPr>
          <w:rtl w:val="true"/>
        </w:rPr>
        <w:t xml:space="preserve">. </w:t>
      </w:r>
      <w:r>
        <w:rPr>
          <w:rtl w:val="true"/>
        </w:rPr>
        <w:t>كما يجوز له بعد الانتهاء من التركيب وجفاف الغراء، عمل الاختبارات المطلوبة للتأكد من ثبات بلاطات الرخام أو الحجر في الواجهات ككل، واختيار أماكن الاختبار بشكل عشوائي في أيّ مكان على الواجهة</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التكسية الخارجية (بدون مواد)</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التكسية الخارجية (بدون مواد)</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