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اللياسة </w:t>
      </w:r>
      <w:r>
        <w:rPr>
          <w:rtl w:val="true"/>
        </w:rPr>
        <w:t>(</w:t>
      </w:r>
      <w:r>
        <w:rPr>
          <w:rtl w:val="true"/>
        </w:rPr>
        <w:t>بدون 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 xml:space="preserve">يلتزم الطرف الثاني بتنفيذ جميع أعمال اللياسة الداخلية والخارجية بدون مواد </w:t>
      </w:r>
      <w:r>
        <w:rPr>
          <w:rtl w:val="true"/>
        </w:rPr>
        <w:t>(</w:t>
      </w:r>
      <w:r>
        <w:rPr>
          <w:rtl w:val="true"/>
        </w:rPr>
        <w:t>مصنعيات فقط</w:t>
      </w:r>
      <w:r>
        <w:rPr>
          <w:rtl w:val="true"/>
        </w:rPr>
        <w:t>)</w:t>
      </w:r>
      <w:r>
        <w:rPr>
          <w:rtl w:val="true"/>
        </w:rPr>
        <w:t>، بالإضافة لتنفيذ أي الملحقات مطلوبة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مسؤولية توصيل المواد إلى أماكنها بالأدوار وأماكن العمل على الطرف الثاني</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يمنع استخدام الجبس أو النورة مطلقا ولأي سبب كان، وكل ما ظهر به خلاف ذلك يكسر ويزال ويعاد على حساب الطرف الثاني</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يلتزم الطرف الثاني أن يقوم باللياسة بدءاً من الأدوار العليا ونزولاً إلى الأسفل</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 xml:space="preserve">إتباع جميع لوائح الجهات الرسمية </w:t>
      </w:r>
      <w:r>
        <w:rPr>
          <w:rtl w:val="true"/>
        </w:rPr>
        <w:t>(</w:t>
      </w:r>
      <w:r>
        <w:rPr>
          <w:rtl w:val="true"/>
        </w:rPr>
        <w:t xml:space="preserve">بلدية، مرور، </w:t>
      </w:r>
      <w:r>
        <w:rPr>
          <w:rtl w:val="true"/>
        </w:rPr>
        <w:t xml:space="preserve">.... </w:t>
      </w:r>
      <w:r>
        <w:rPr>
          <w:rtl w:val="true"/>
        </w:rPr>
        <w:t>الخ</w:t>
      </w:r>
      <w:r>
        <w:rPr>
          <w:rtl w:val="true"/>
        </w:rPr>
        <w:t>)</w:t>
      </w:r>
      <w:r>
        <w:rPr>
          <w:rtl w:val="true"/>
        </w:rPr>
        <w:t>، وعدم شغل الطريق بمواد البناء والأخشاب والآلات أكثر مما هو مسموح له في رخصة البناء</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قياس الأعمال على الطبيعة،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يلجأ الطرفان للمكتب الهندسي المسمَّى في المادة الخامسة بند </w:t>
      </w:r>
      <w:r>
        <w:rPr>
          <w:rtl w:val="true"/>
        </w:rPr>
        <w:t>(</w:t>
      </w:r>
      <w:r>
        <w:rPr/>
        <w:t>2</w:t>
      </w:r>
      <w:r>
        <w:rPr>
          <w:rtl w:val="true"/>
        </w:rPr>
        <w:t xml:space="preserve">) </w:t>
      </w:r>
      <w:r>
        <w:rPr>
          <w:rtl w:val="true"/>
        </w:rPr>
        <w:t>من وثيقة العقد الأساسي؛ لعمل القياس والتمتير، أو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تحتسب للطرف الثاني من ضمن التمتير كل البروزات في الواجهة أو الممتدة من الأسقف مهما بلغ مقدارها</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 xml:space="preserve">بالنسبة للمناور والفتحات في الأسقف أو الحوائط أو الأسوار فإذا كانت مساحة الفتحة أو المنور – </w:t>
      </w:r>
      <w:r>
        <w:rPr/>
        <w:t>1</w:t>
      </w:r>
      <w:r>
        <w:rPr>
          <w:rtl w:val="true"/>
        </w:rPr>
        <w:t xml:space="preserve"> </w:t>
      </w:r>
      <w:r>
        <w:rPr>
          <w:rtl w:val="true"/>
        </w:rPr>
        <w:t>متر مربع – فأقل، فتُحسَب للطرف الثاني، وإذا زادت عن ذلك فتُخصَم من القياس</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 xml:space="preserve">إطارات النوافذ والأبواب </w:t>
      </w:r>
      <w:r>
        <w:rPr>
          <w:rtl w:val="true"/>
        </w:rPr>
        <w:t>(</w:t>
      </w:r>
      <w:r>
        <w:rPr>
          <w:rtl w:val="true"/>
        </w:rPr>
        <w:t>جلسات النوافذ وحلوق الأبواب</w:t>
      </w:r>
      <w:r>
        <w:rPr>
          <w:rtl w:val="true"/>
        </w:rPr>
        <w:t xml:space="preserve">) </w:t>
      </w:r>
      <w:r>
        <w:rPr>
          <w:rtl w:val="true"/>
        </w:rPr>
        <w:t>أو سطح السترة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نهاية الأعمال، ويضمن الطرف الثاني الأعمال المُنفَّذة من قبله ضد التشققات والتصدعات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توريد شبك اللياسة وأي ملحقات مطلوبة للعمل يكون على الطرف الأول</w:t>
      </w:r>
      <w:r>
        <w:rPr>
          <w:rtl w:val="true"/>
        </w:rPr>
        <w:t>.</w:t>
      </w:r>
    </w:p>
    <w:p>
      <w:pPr>
        <w:pStyle w:val="BodyText"/>
        <w:bidi w:val="1"/>
        <w:spacing w:before="0" w:after="0"/>
        <w:ind w:hanging="0" w:left="0" w:right="0"/>
        <w:jc w:val="left"/>
        <w:rPr/>
      </w:pPr>
      <w:r>
        <w:rPr/>
        <w:t>2</w:t>
      </w:r>
      <w:r>
        <w:rPr>
          <w:rtl w:val="true"/>
        </w:rPr>
        <w:t xml:space="preserve"> – </w:t>
      </w:r>
      <w:r>
        <w:rPr>
          <w:rtl w:val="true"/>
        </w:rPr>
        <w:t>مسؤولية الرشّ بالماء للعناصر الإنشائية والمباني على الطرف الثاني</w:t>
      </w:r>
      <w:r>
        <w:rPr>
          <w:rtl w:val="true"/>
        </w:rPr>
        <w:t>.</w:t>
      </w:r>
    </w:p>
    <w:p>
      <w:pPr>
        <w:pStyle w:val="BodyText"/>
        <w:bidi w:val="1"/>
        <w:spacing w:before="0" w:after="0"/>
        <w:ind w:hanging="0" w:left="0" w:right="0"/>
        <w:jc w:val="left"/>
        <w:rPr/>
      </w:pPr>
      <w:r>
        <w:rPr/>
        <w:t>3</w:t>
      </w:r>
      <w:r>
        <w:rPr>
          <w:rtl w:val="true"/>
        </w:rPr>
        <w:t xml:space="preserve"> – </w:t>
      </w:r>
      <w:r>
        <w:rPr>
          <w:rtl w:val="true"/>
        </w:rPr>
        <w:t>يلزم أن يكون الماء المستخدم في جميع أعمال الطرف الثاني حلوًا وخاليًا من الشوائب</w:t>
      </w:r>
      <w:r>
        <w:rPr>
          <w:rtl w:val="true"/>
        </w:rPr>
        <w:t>.</w:t>
      </w:r>
    </w:p>
    <w:p>
      <w:pPr>
        <w:pStyle w:val="BodyText"/>
        <w:bidi w:val="1"/>
        <w:spacing w:before="0" w:after="0"/>
        <w:ind w:hanging="0" w:left="0" w:right="0"/>
        <w:jc w:val="left"/>
        <w:rPr/>
      </w:pPr>
      <w:r>
        <w:rPr/>
        <w:t>4</w:t>
      </w:r>
      <w:r>
        <w:rPr>
          <w:rtl w:val="true"/>
        </w:rPr>
        <w:t xml:space="preserve"> – </w:t>
      </w:r>
      <w:r>
        <w:rPr>
          <w:rtl w:val="true"/>
        </w:rPr>
        <w:t xml:space="preserve">لياسة الأسقف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5</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6</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7</w:t>
      </w:r>
      <w:r>
        <w:rPr>
          <w:rtl w:val="true"/>
        </w:rPr>
        <w:t xml:space="preserve"> – </w:t>
      </w:r>
      <w:r>
        <w:rPr>
          <w:rtl w:val="true"/>
        </w:rPr>
        <w:t>الأعمال المخالفة لوثائق العقد أو المنفَّذة بدون إذن أو استلام خطيّ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8</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9</w:t>
      </w:r>
      <w:r>
        <w:rPr>
          <w:rtl w:val="true"/>
        </w:rPr>
        <w:t xml:space="preserve"> –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9</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9</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9</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10</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مواصفات واشتراطات تنفيذ المواد</w:t>
      </w:r>
    </w:p>
    <w:p>
      <w:pPr>
        <w:pStyle w:val="BodyText"/>
        <w:bidi w:val="1"/>
        <w:spacing w:before="0" w:after="0"/>
        <w:ind w:hanging="0" w:left="0" w:right="0"/>
        <w:jc w:val="left"/>
        <w:rPr/>
      </w:pPr>
      <w:r>
        <w:rPr/>
        <w:t>1</w:t>
      </w:r>
      <w:r>
        <w:rPr>
          <w:rtl w:val="true"/>
        </w:rPr>
        <w:t xml:space="preserve"> – </w:t>
      </w:r>
      <w:r>
        <w:rPr>
          <w:rtl w:val="true"/>
        </w:rPr>
        <w:t xml:space="preserve">الأسمنت </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يلزم تخزين الأسمنت بطريقة سليمة بعيدًا عن الرطوبة والمياه</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يلزم استخدام الأسمنت أولاً بأول، وعدم استخدام الأسمنت المتحجر</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الرمل </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 xml:space="preserve">مسؤولية نظافة الرمل وخلوه من الشوائب تكون على </w:t>
      </w:r>
      <w:r>
        <w:rPr>
          <w:rtl w:val="true"/>
        </w:rPr>
        <w:t>(</w:t>
      </w:r>
      <w:r>
        <w:rPr>
          <w:rtl w:val="true"/>
        </w:rPr>
        <w:t>يختار الطرفان مما بلي</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3</w:t>
      </w:r>
      <w:r>
        <w:rPr>
          <w:rtl w:val="true"/>
        </w:rPr>
        <w:t xml:space="preserve"> – </w:t>
      </w:r>
      <w:r>
        <w:rPr>
          <w:rtl w:val="true"/>
        </w:rPr>
        <w:t xml:space="preserve">استخدام مواد وملحقات أخرى للياسة </w:t>
      </w:r>
      <w:r>
        <w:rPr>
          <w:rtl w:val="true"/>
        </w:rPr>
        <w:t>(</w:t>
      </w:r>
      <w:r>
        <w:rPr>
          <w:rtl w:val="true"/>
        </w:rPr>
        <w:t>يختار الطرفان مما يلي</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rtl w:val="true"/>
        </w:rPr>
        <w:t xml:space="preserve">اشتراطات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طريقة تنفيذ اللياسة</w:t>
      </w:r>
      <w:r>
        <w:rPr>
          <w:rtl w:val="true"/>
        </w:rPr>
        <w:t>: (</w:t>
      </w:r>
      <w:r>
        <w:rPr>
          <w:rtl w:val="true"/>
        </w:rPr>
        <w:t>يختار الطرفان مما يلي</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خطوات تنفيذ اللياسة</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يلتزم الطرف الثاني بمعايرة نِسَب الرمل إلى الأسمنت لكل من الطرطشة واللياسة باستخدام مكعب خشبي وفقًا للنِّسب التي يحددها مشرف المشروع</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يستخدم للطرطشة </w:t>
      </w:r>
      <w:r>
        <w:rPr/>
        <w:t>450</w:t>
      </w:r>
      <w:r>
        <w:rPr>
          <w:rtl w:val="true"/>
        </w:rPr>
        <w:t xml:space="preserve"> </w:t>
      </w:r>
      <w:r>
        <w:rPr>
          <w:rtl w:val="true"/>
        </w:rPr>
        <w:t>كجم من الأسمنت لكلّ واحد متر مكعب من الرمل</w:t>
      </w:r>
      <w:r>
        <w:rPr>
          <w:rtl w:val="true"/>
        </w:rPr>
        <w:t xml:space="preserve">. </w:t>
      </w:r>
      <w:r>
        <w:rPr>
          <w:rtl w:val="true"/>
        </w:rPr>
        <w:t xml:space="preserve">أما اللياسة فيستخدم </w:t>
      </w:r>
      <w:r>
        <w:rPr/>
        <w:t>300</w:t>
      </w:r>
      <w:r>
        <w:rPr>
          <w:rtl w:val="true"/>
        </w:rPr>
        <w:t xml:space="preserve"> </w:t>
      </w:r>
      <w:r>
        <w:rPr>
          <w:rtl w:val="true"/>
        </w:rPr>
        <w:t>كجم من الأسمنت لكل واحد متر مكعب من الرمل</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يبدأ العمل داخل المبنى من السطح نزولاً إلى الدور الأول، ثم الأرضي</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يلزم في البداية إزالة المسامير والأخشاب والأوراق والنتوءات الخرسانية من أسطح جميع الحوائط والعناصر الإنشائية المراد لياستها</w:t>
      </w:r>
      <w:r>
        <w:rPr>
          <w:rtl w:val="true"/>
        </w:rPr>
        <w:t xml:space="preserve">. </w:t>
      </w:r>
      <w:r>
        <w:rPr>
          <w:rtl w:val="true"/>
        </w:rPr>
        <w:t>ثم تغسل وتنظف لإزالة الغبار والأتربة</w:t>
      </w:r>
      <w:r>
        <w:rPr>
          <w:rtl w:val="true"/>
        </w:rPr>
        <w:t>.</w:t>
      </w:r>
    </w:p>
    <w:p>
      <w:pPr>
        <w:pStyle w:val="BodyText"/>
        <w:bidi w:val="1"/>
        <w:spacing w:before="0" w:after="0"/>
        <w:ind w:hanging="0" w:left="0" w:right="0"/>
        <w:jc w:val="left"/>
        <w:rPr/>
      </w:pPr>
      <w:r>
        <w:rPr/>
        <w:t>2</w:t>
      </w:r>
      <w:r>
        <w:rPr>
          <w:rtl w:val="true"/>
        </w:rPr>
        <w:t xml:space="preserve"> – </w:t>
      </w:r>
      <w:r>
        <w:rPr/>
        <w:t>5</w:t>
      </w:r>
      <w:r>
        <w:rPr>
          <w:rtl w:val="true"/>
        </w:rPr>
        <w:t xml:space="preserve"> </w:t>
      </w:r>
      <w:r>
        <w:rPr>
          <w:rtl w:val="true"/>
        </w:rPr>
        <w:t xml:space="preserve">لا يباشر الطرف الثاني أعمال الطرطشة قبل أن تُملأ الفراغات والفتحات في كافة الحوائط بالمونة </w:t>
      </w:r>
      <w:r>
        <w:rPr>
          <w:rtl w:val="true"/>
        </w:rPr>
        <w:t>(</w:t>
      </w:r>
      <w:r>
        <w:rPr>
          <w:rtl w:val="true"/>
        </w:rPr>
        <w:t>الخلطة</w:t>
      </w:r>
      <w:r>
        <w:rPr>
          <w:rtl w:val="true"/>
        </w:rPr>
        <w:t>)</w:t>
      </w:r>
      <w:r>
        <w:rPr>
          <w:rtl w:val="true"/>
        </w:rPr>
        <w:t>، ومن ثم تخشينها للحصول على أسطح خشنة</w:t>
      </w:r>
      <w:r>
        <w:rPr>
          <w:rtl w:val="true"/>
        </w:rPr>
        <w:t>.</w:t>
      </w:r>
    </w:p>
    <w:p>
      <w:pPr>
        <w:pStyle w:val="BodyText"/>
        <w:bidi w:val="1"/>
        <w:spacing w:before="0" w:after="0"/>
        <w:ind w:hanging="0" w:left="0" w:right="0"/>
        <w:jc w:val="left"/>
        <w:rPr/>
      </w:pPr>
      <w:r>
        <w:rPr/>
        <w:t>2</w:t>
      </w:r>
      <w:r>
        <w:rPr>
          <w:rtl w:val="true"/>
        </w:rPr>
        <w:t xml:space="preserve"> – </w:t>
      </w:r>
      <w:r>
        <w:rPr/>
        <w:t>6</w:t>
      </w:r>
      <w:r>
        <w:rPr>
          <w:rtl w:val="true"/>
        </w:rPr>
        <w:t xml:space="preserve"> </w:t>
      </w:r>
      <w:r>
        <w:rPr>
          <w:rtl w:val="true"/>
        </w:rPr>
        <w:t>في حال وجود زيادات أو نتوءات في الحوائط أو العناصر الإنشائية؛ تزال بأدوات خفيفة تحت إشراف الطرف الاول أو من يمثله</w:t>
      </w:r>
      <w:r>
        <w:rPr>
          <w:rtl w:val="true"/>
        </w:rPr>
        <w:t xml:space="preserve">. </w:t>
      </w:r>
      <w:r>
        <w:rPr>
          <w:rtl w:val="true"/>
        </w:rPr>
        <w:t xml:space="preserve">أما في حال وجود هبوطات في الحوائط أو العناصر الإنشائية فتملأ بمونة </w:t>
      </w:r>
      <w:r>
        <w:rPr>
          <w:rtl w:val="true"/>
        </w:rPr>
        <w:t>(</w:t>
      </w:r>
      <w:r>
        <w:rPr>
          <w:rtl w:val="true"/>
        </w:rPr>
        <w:t>خلطة</w:t>
      </w:r>
      <w:r>
        <w:rPr>
          <w:rtl w:val="true"/>
        </w:rPr>
        <w:t xml:space="preserve">) </w:t>
      </w:r>
      <w:r>
        <w:rPr>
          <w:rtl w:val="true"/>
        </w:rPr>
        <w:t xml:space="preserve">على طبقات لا تزيد كل طبقة عن </w:t>
      </w:r>
      <w:r>
        <w:rPr/>
        <w:t>2</w:t>
      </w:r>
      <w:r>
        <w:rPr>
          <w:rtl w:val="true"/>
        </w:rPr>
        <w:t>سم للوصول للمستوى المطلوب، ويخشن السطح الأخير</w:t>
      </w:r>
      <w:r>
        <w:rPr>
          <w:rtl w:val="true"/>
        </w:rPr>
        <w:t>.</w:t>
      </w:r>
    </w:p>
    <w:p>
      <w:pPr>
        <w:pStyle w:val="BodyText"/>
        <w:bidi w:val="1"/>
        <w:spacing w:before="0" w:after="0"/>
        <w:ind w:hanging="0" w:left="0" w:right="0"/>
        <w:jc w:val="left"/>
        <w:rPr/>
      </w:pPr>
      <w:r>
        <w:rPr/>
        <w:t>2</w:t>
      </w:r>
      <w:r>
        <w:rPr>
          <w:rtl w:val="true"/>
        </w:rPr>
        <w:t xml:space="preserve"> – </w:t>
      </w:r>
      <w:r>
        <w:rPr/>
        <w:t>7</w:t>
      </w:r>
      <w:r>
        <w:rPr>
          <w:rtl w:val="true"/>
        </w:rPr>
        <w:t xml:space="preserve"> </w:t>
      </w:r>
      <w:r>
        <w:rPr>
          <w:rtl w:val="true"/>
        </w:rPr>
        <w:t>لا يباشر الطرف الثاني أعمال الطرطشة قبل تركيب شبك اللياسة عند التقاء العناصر الإنشائية بالمباني، أو عند وجود تمديدات صحية أو كهربائية</w:t>
      </w:r>
      <w:r>
        <w:rPr>
          <w:rtl w:val="true"/>
        </w:rPr>
        <w:t>.</w:t>
      </w:r>
    </w:p>
    <w:p>
      <w:pPr>
        <w:pStyle w:val="BodyText"/>
        <w:bidi w:val="1"/>
        <w:spacing w:before="0" w:after="0"/>
        <w:ind w:hanging="0" w:left="0" w:right="0"/>
        <w:jc w:val="left"/>
        <w:rPr/>
      </w:pPr>
      <w:r>
        <w:rPr/>
        <w:t>2</w:t>
      </w:r>
      <w:r>
        <w:rPr>
          <w:rtl w:val="true"/>
        </w:rPr>
        <w:t xml:space="preserve"> – </w:t>
      </w:r>
      <w:r>
        <w:rPr/>
        <w:t>8</w:t>
      </w:r>
      <w:r>
        <w:rPr>
          <w:rtl w:val="true"/>
        </w:rPr>
        <w:t xml:space="preserve"> </w:t>
      </w:r>
      <w:r>
        <w:rPr>
          <w:rtl w:val="true"/>
        </w:rPr>
        <w:t>قبيل الطرطشة يلزم رشّ الحوائط بالماء</w:t>
      </w:r>
      <w:r>
        <w:rPr>
          <w:rtl w:val="true"/>
        </w:rPr>
        <w:t>.</w:t>
      </w:r>
    </w:p>
    <w:p>
      <w:pPr>
        <w:pStyle w:val="BodyText"/>
        <w:bidi w:val="1"/>
        <w:spacing w:before="0" w:after="0"/>
        <w:ind w:hanging="0" w:left="0" w:right="0"/>
        <w:jc w:val="left"/>
        <w:rPr/>
      </w:pPr>
      <w:r>
        <w:rPr/>
        <w:t>2</w:t>
      </w:r>
      <w:r>
        <w:rPr>
          <w:rtl w:val="true"/>
        </w:rPr>
        <w:t xml:space="preserve"> – </w:t>
      </w:r>
      <w:r>
        <w:rPr/>
        <w:t>9</w:t>
      </w:r>
      <w:r>
        <w:rPr>
          <w:rtl w:val="true"/>
        </w:rPr>
        <w:t xml:space="preserve"> </w:t>
      </w:r>
      <w:r>
        <w:rPr>
          <w:rtl w:val="true"/>
        </w:rPr>
        <w:t xml:space="preserve">تطرطش الحوائط طرطشة خشنة </w:t>
      </w:r>
      <w:r>
        <w:rPr>
          <w:rtl w:val="true"/>
        </w:rPr>
        <w:t>(</w:t>
      </w:r>
      <w:r>
        <w:rPr>
          <w:rtl w:val="true"/>
        </w:rPr>
        <w:t>مسمارية</w:t>
      </w:r>
      <w:r>
        <w:rPr>
          <w:rtl w:val="true"/>
        </w:rPr>
        <w:t>)</w:t>
      </w:r>
      <w:r>
        <w:rPr>
          <w:rtl w:val="true"/>
        </w:rPr>
        <w:t xml:space="preserve">؛ بحيث تُخفي معالم وصفوف المباني </w:t>
      </w:r>
      <w:r>
        <w:rPr>
          <w:rtl w:val="true"/>
        </w:rPr>
        <w:t>(</w:t>
      </w:r>
      <w:r>
        <w:rPr>
          <w:rtl w:val="true"/>
        </w:rPr>
        <w:t>المداميك</w:t>
      </w:r>
      <w:r>
        <w:rPr>
          <w:rtl w:val="true"/>
        </w:rPr>
        <w:t>).</w:t>
      </w:r>
    </w:p>
    <w:p>
      <w:pPr>
        <w:pStyle w:val="BodyText"/>
        <w:bidi w:val="1"/>
        <w:spacing w:before="0" w:after="0"/>
        <w:ind w:hanging="0" w:left="0" w:right="0"/>
        <w:jc w:val="left"/>
        <w:rPr/>
      </w:pPr>
      <w:r>
        <w:rPr/>
        <w:t>2</w:t>
      </w:r>
      <w:r>
        <w:rPr>
          <w:rtl w:val="true"/>
        </w:rPr>
        <w:t xml:space="preserve"> – </w:t>
      </w:r>
      <w:r>
        <w:rPr/>
        <w:t>10</w:t>
      </w:r>
      <w:r>
        <w:rPr>
          <w:rtl w:val="true"/>
        </w:rPr>
        <w:t xml:space="preserve"> </w:t>
      </w:r>
      <w:r>
        <w:rPr>
          <w:rtl w:val="true"/>
        </w:rPr>
        <w:t>تُرَش الطرطشة بالماء لمدة ثلاثة أيام على الأقل قبل بدأ اللياسة</w:t>
      </w:r>
      <w:r>
        <w:rPr>
          <w:rtl w:val="true"/>
        </w:rPr>
        <w:t>.</w:t>
      </w:r>
    </w:p>
    <w:p>
      <w:pPr>
        <w:pStyle w:val="BodyText"/>
        <w:bidi w:val="1"/>
        <w:spacing w:before="0" w:after="0"/>
        <w:ind w:hanging="0" w:left="0" w:right="0"/>
        <w:jc w:val="left"/>
        <w:rPr/>
      </w:pPr>
      <w:r>
        <w:rPr/>
        <w:t>2</w:t>
      </w:r>
      <w:r>
        <w:rPr>
          <w:rtl w:val="true"/>
        </w:rPr>
        <w:t xml:space="preserve"> – </w:t>
      </w:r>
      <w:r>
        <w:rPr/>
        <w:t>11</w:t>
      </w:r>
      <w:r>
        <w:rPr>
          <w:rtl w:val="true"/>
        </w:rPr>
        <w:t xml:space="preserve"> </w:t>
      </w:r>
      <w:r>
        <w:rPr>
          <w:rtl w:val="true"/>
        </w:rPr>
        <w:t>في حال اتفق الطرفان على اللياسة بالودع أو بالزاوية؛ فيبدأ الطرف الثاني بتنفيذ الودع على الحوائط، ولا يباشر اللياسة إلا بعد استلام الحوائط رأسيًّا وأفقيًّا وعند الأركان من الطرف الأول أو من يمثله</w:t>
      </w:r>
      <w:r>
        <w:rPr>
          <w:rtl w:val="true"/>
        </w:rPr>
        <w:t>.</w:t>
      </w:r>
    </w:p>
    <w:p>
      <w:pPr>
        <w:pStyle w:val="BodyText"/>
        <w:bidi w:val="1"/>
        <w:spacing w:before="0" w:after="0"/>
        <w:ind w:hanging="0" w:left="0" w:right="0"/>
        <w:jc w:val="left"/>
        <w:rPr/>
      </w:pPr>
      <w:r>
        <w:rPr/>
        <w:t>2</w:t>
      </w:r>
      <w:r>
        <w:rPr>
          <w:rtl w:val="true"/>
        </w:rPr>
        <w:t xml:space="preserve"> – </w:t>
      </w:r>
      <w:r>
        <w:rPr/>
        <w:t>12</w:t>
      </w:r>
      <w:r>
        <w:rPr>
          <w:rtl w:val="true"/>
        </w:rPr>
        <w:t xml:space="preserve"> </w:t>
      </w:r>
      <w:r>
        <w:rPr>
          <w:rtl w:val="true"/>
        </w:rPr>
        <w:t xml:space="preserve">يباشر الطرف الثاني أعمال اللياسة بقائم ألومنيوم </w:t>
      </w:r>
      <w:r>
        <w:rPr>
          <w:rtl w:val="true"/>
        </w:rPr>
        <w:t>(</w:t>
      </w:r>
      <w:r>
        <w:rPr>
          <w:rtl w:val="true"/>
        </w:rPr>
        <w:t>قدة</w:t>
      </w:r>
      <w:r>
        <w:rPr>
          <w:rtl w:val="true"/>
        </w:rPr>
        <w:t xml:space="preserve">) </w:t>
      </w:r>
      <w:r>
        <w:rPr>
          <w:rtl w:val="true"/>
        </w:rPr>
        <w:t>نظيف ومستوي ومستقيم</w:t>
      </w:r>
      <w:r>
        <w:rPr>
          <w:rtl w:val="true"/>
        </w:rPr>
        <w:t xml:space="preserve">. </w:t>
      </w:r>
      <w:r>
        <w:rPr>
          <w:rtl w:val="true"/>
        </w:rPr>
        <w:t>وعند نهاية اليوم يلزم الوقوف باللياسة عند زاوية داخلية لضمان عدم توصيل اللياسة في اليوم التالي عند وسط الحائط</w:t>
      </w:r>
      <w:r>
        <w:rPr>
          <w:rtl w:val="true"/>
        </w:rPr>
        <w:t>.</w:t>
      </w:r>
    </w:p>
    <w:p>
      <w:pPr>
        <w:pStyle w:val="BodyText"/>
        <w:bidi w:val="1"/>
        <w:spacing w:before="0" w:after="0"/>
        <w:ind w:hanging="0" w:left="0" w:right="0"/>
        <w:jc w:val="left"/>
        <w:rPr/>
      </w:pPr>
      <w:r>
        <w:rPr/>
        <w:t>2</w:t>
      </w:r>
      <w:r>
        <w:rPr>
          <w:rtl w:val="true"/>
        </w:rPr>
        <w:t xml:space="preserve"> – </w:t>
      </w:r>
      <w:r>
        <w:rPr/>
        <w:t>13</w:t>
      </w:r>
      <w:r>
        <w:rPr>
          <w:rtl w:val="true"/>
        </w:rPr>
        <w:t xml:space="preserve"> </w:t>
      </w:r>
      <w:r>
        <w:rPr>
          <w:rtl w:val="true"/>
        </w:rPr>
        <w:t>يلزم استخدام مونة اللياسة خلال ساعتين من وقت تحضيرها، وبالتالي يمنع تحضير كميات كبيرة؛ لئلا تبقى مونة اللياسة لأكثر من الوقت المشار إليه</w:t>
      </w:r>
      <w:r>
        <w:rPr>
          <w:rtl w:val="true"/>
        </w:rPr>
        <w:t>.</w:t>
      </w:r>
    </w:p>
    <w:p>
      <w:pPr>
        <w:pStyle w:val="BodyText"/>
        <w:bidi w:val="1"/>
        <w:spacing w:before="0" w:after="0"/>
        <w:ind w:hanging="0" w:left="0" w:right="0"/>
        <w:jc w:val="left"/>
        <w:rPr/>
      </w:pPr>
      <w:r>
        <w:rPr/>
        <w:t>2</w:t>
      </w:r>
      <w:r>
        <w:rPr>
          <w:rtl w:val="true"/>
        </w:rPr>
        <w:t xml:space="preserve"> – </w:t>
      </w:r>
      <w:r>
        <w:rPr/>
        <w:t>14</w:t>
      </w:r>
      <w:r>
        <w:rPr>
          <w:rtl w:val="true"/>
        </w:rPr>
        <w:t xml:space="preserve"> </w:t>
      </w:r>
      <w:r>
        <w:rPr>
          <w:rtl w:val="true"/>
        </w:rPr>
        <w:t>يُرَاعى أن يكون مستوى جلسة النوافذ بميول للخارج</w:t>
      </w:r>
      <w:r>
        <w:rPr>
          <w:rtl w:val="true"/>
        </w:rPr>
        <w:t>.</w:t>
      </w:r>
    </w:p>
    <w:p>
      <w:pPr>
        <w:pStyle w:val="BodyText"/>
        <w:bidi w:val="1"/>
        <w:spacing w:before="0" w:after="0"/>
        <w:ind w:hanging="0" w:left="0" w:right="0"/>
        <w:jc w:val="left"/>
        <w:rPr/>
      </w:pPr>
      <w:r>
        <w:rPr/>
        <w:t>2</w:t>
      </w:r>
      <w:r>
        <w:rPr>
          <w:rtl w:val="true"/>
        </w:rPr>
        <w:t xml:space="preserve"> – </w:t>
      </w:r>
      <w:r>
        <w:rPr/>
        <w:t>15</w:t>
      </w:r>
      <w:r>
        <w:rPr>
          <w:rtl w:val="true"/>
        </w:rPr>
        <w:t xml:space="preserve"> </w:t>
      </w:r>
      <w:r>
        <w:rPr>
          <w:rtl w:val="true"/>
        </w:rPr>
        <w:t>يُراعى أن يتم تخشين الحوائط التي سيركب عليها البورسلان أو السراميك</w:t>
      </w:r>
      <w:r>
        <w:rPr>
          <w:rtl w:val="true"/>
        </w:rPr>
        <w:t>.</w:t>
      </w:r>
    </w:p>
    <w:p>
      <w:pPr>
        <w:pStyle w:val="BodyText"/>
        <w:bidi w:val="1"/>
        <w:spacing w:before="0" w:after="0"/>
        <w:ind w:hanging="0" w:left="0" w:right="0"/>
        <w:jc w:val="left"/>
        <w:rPr/>
      </w:pPr>
      <w:r>
        <w:rPr/>
        <w:t>2</w:t>
      </w:r>
      <w:r>
        <w:rPr>
          <w:rtl w:val="true"/>
        </w:rPr>
        <w:t xml:space="preserve"> – </w:t>
      </w:r>
      <w:r>
        <w:rPr/>
        <w:t>16</w:t>
      </w:r>
      <w:r>
        <w:rPr>
          <w:rtl w:val="true"/>
        </w:rPr>
        <w:t xml:space="preserve"> </w:t>
      </w:r>
      <w:r>
        <w:rPr>
          <w:rtl w:val="true"/>
        </w:rPr>
        <w:t xml:space="preserve">بعد </w:t>
      </w:r>
      <w:r>
        <w:rPr/>
        <w:t>6</w:t>
      </w:r>
      <w:r>
        <w:rPr>
          <w:rtl w:val="true"/>
        </w:rPr>
        <w:t xml:space="preserve"> </w:t>
      </w:r>
      <w:r>
        <w:rPr>
          <w:rtl w:val="true"/>
        </w:rPr>
        <w:t>ساعات تقريبًا من انتهاء لياسة الحوائط يبدأ رشّ اللياسة بالماء مرتين يومياً ولمدة لا تقل عن ثلاثة أيام</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اللياسة (بدون 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اللياسة (بدون 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