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أعمال الهدم وترحيل المخلفات</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بالقيام بكافة الأعمال اللازمة لهدم العقار المشار إليه في وثيقة العقد الأساسية ونزع جميع اساساته بالعمق التي هي عليه، 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يلتزم الطرف الثاني بأن لا تتم تسوية الأرض إلا بعد أن يقر الطرف الأول كتابة بقبوله للأعمال التي قام بها الطرف الثانى فيما يتعلق بنزع الأساسات</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يلتزم الطرف الثاني أن تتم أعمال الهدم وفقا للأصول الفنية المتعارف عليها، مع بذل العناية الواجبة للمحافظة على الأنقاض بقدر الإمكان وتفادي الإضرار بالغير</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يلتزم الطرف الثانى بنزع الأبواب والنوافذ والأرضيات بكافة أنواعها كمرحلة أولى، على أن يعهد بذلك إلى شخص له دراية بهذه الأعمال للمحافظة على سلامتها، ويكون الطرف الثانى مسؤولاً عن التلفيات التى كان يمكن تفاديها</w:t>
      </w:r>
      <w:r>
        <w:rPr>
          <w:rtl w:val="true"/>
        </w:rPr>
        <w:t xml:space="preserve">. </w:t>
      </w:r>
      <w:r>
        <w:rPr>
          <w:rtl w:val="true"/>
        </w:rPr>
        <w:t xml:space="preserve">كما يلتزم بمثل ما تقدم عند نزع الرخام </w:t>
      </w:r>
      <w:r>
        <w:rPr>
          <w:rtl w:val="true"/>
        </w:rPr>
        <w:t xml:space="preserve">" </w:t>
      </w:r>
      <w:r>
        <w:rPr>
          <w:rtl w:val="true"/>
        </w:rPr>
        <w:t xml:space="preserve">إن وجد </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الكهرباء المؤقتة على الطرف الثاني</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التنسيق مع المقاولين الآخرين في المشروع ومشرف المشروع إن وجد</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 xml:space="preserve">أنقاض ومخلفات الهدم </w:t>
      </w:r>
      <w:r>
        <w:rPr>
          <w:rtl w:val="true"/>
        </w:rPr>
        <w:t>(</w:t>
      </w:r>
      <w:r>
        <w:rPr>
          <w:rtl w:val="true"/>
        </w:rPr>
        <w:t>النقاض</w:t>
      </w:r>
      <w:r>
        <w:rPr>
          <w:rtl w:val="true"/>
        </w:rPr>
        <w:t xml:space="preserve">) </w:t>
      </w:r>
      <w:r>
        <w:rPr>
          <w:rtl w:val="true"/>
        </w:rPr>
        <w:t>تكون من حق</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يلتزم الطرف الأول بأن يسلم المبنى خالياً من الأثاث والاشياء العينية</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يلتزم الطرف الثاني بالحفاظ على ممتلكات الجيران وعدم إتلافها ويتحمل ما قد يحصل من تلفيات بسبب عملية الهدم</w:t>
      </w:r>
      <w:r>
        <w:rPr>
          <w:rtl w:val="true"/>
        </w:rPr>
        <w:t>.</w:t>
      </w:r>
    </w:p>
    <w:p>
      <w:pPr>
        <w:pStyle w:val="BodyText"/>
        <w:bidi w:val="1"/>
        <w:spacing w:before="0" w:after="0"/>
        <w:ind w:hanging="0" w:left="0" w:right="0"/>
        <w:jc w:val="left"/>
        <w:rPr/>
      </w:pPr>
      <w:r>
        <w:rPr/>
        <w:t>1</w:t>
      </w:r>
      <w:r>
        <w:rPr>
          <w:rtl w:val="true"/>
        </w:rPr>
        <w:t xml:space="preserve"> – </w:t>
      </w:r>
      <w:r>
        <w:rPr/>
        <w:t>11</w:t>
      </w:r>
      <w:r>
        <w:rPr>
          <w:rtl w:val="true"/>
        </w:rPr>
        <w:t xml:space="preserve"> </w:t>
      </w:r>
      <w:r>
        <w:rPr>
          <w:rtl w:val="true"/>
        </w:rPr>
        <w:t>يلتزم الطرف الثانى بإتمام عملية الهدم ونقل الأنقاض والأتربة وتسليم الأرض للطرف الأول خالية فى مدة أقصاه</w:t>
      </w:r>
    </w:p>
    <w:p>
      <w:pPr>
        <w:pStyle w:val="BodyText"/>
        <w:bidi w:val="1"/>
        <w:spacing w:before="0" w:after="0"/>
        <w:ind w:hanging="0" w:left="0" w:right="0"/>
        <w:jc w:val="left"/>
        <w:rPr/>
      </w:pPr>
      <w:r>
        <w:rPr>
          <w:rtl w:val="true"/>
        </w:rPr>
        <w:t xml:space="preserve">يوما </w:t>
      </w:r>
      <w:r>
        <w:rPr>
          <w:rtl w:val="true"/>
        </w:rPr>
        <w:t xml:space="preserve">. </w:t>
      </w:r>
      <w:r>
        <w:rPr>
          <w:color w:val="64748B"/>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قياس وحصر الأعمال على الطبيعة، ويكون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الطرفان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كمستند لبداية فترة الضمان، ويضمن الطرف الثاني الأعمال المنفذة مِن قِبَله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سنة من تاريخ هذه المخالصة النهائية</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يلتزم الطرف الثانى باستخراج التراخيص اللازمة لتنفيذ عملية الهدم من ترخيص نقل مخلفات وترخيص السياج أو ترخيص إشغال طريق وخلافه وكل ترخيص أو تصريح عدا ترخيص الهدم فيكون من التزامات الطرف الأول</w:t>
      </w:r>
      <w:r>
        <w:rPr>
          <w:rtl w:val="true"/>
        </w:rPr>
        <w:t>.</w:t>
      </w:r>
    </w:p>
    <w:p>
      <w:pPr>
        <w:pStyle w:val="BodyText"/>
        <w:bidi w:val="1"/>
        <w:spacing w:before="0" w:after="0"/>
        <w:ind w:hanging="0" w:left="0" w:right="0"/>
        <w:jc w:val="left"/>
        <w:rPr/>
      </w:pPr>
      <w:r>
        <w:rPr/>
        <w:t>2</w:t>
      </w:r>
      <w:r>
        <w:rPr>
          <w:rtl w:val="true"/>
        </w:rPr>
        <w:t xml:space="preserve"> – </w:t>
      </w:r>
      <w:r>
        <w:rPr>
          <w:rtl w:val="true"/>
        </w:rPr>
        <w:t>يلتزم الطرف الثانى بعدم هدم الجزء الكافى اللازم لسلامة عدادت المياه و الكهرباء</w:t>
      </w:r>
      <w:r>
        <w:rPr>
          <w:rtl w:val="true"/>
        </w:rPr>
        <w:t>.</w:t>
      </w:r>
    </w:p>
    <w:p>
      <w:pPr>
        <w:pStyle w:val="BodyText"/>
        <w:bidi w:val="1"/>
        <w:spacing w:before="0" w:after="0"/>
        <w:ind w:hanging="0" w:left="0" w:right="0"/>
        <w:jc w:val="left"/>
        <w:rPr/>
      </w:pPr>
      <w:r>
        <w:rPr/>
        <w:t>3</w:t>
      </w:r>
      <w:r>
        <w:rPr>
          <w:rtl w:val="true"/>
        </w:rPr>
        <w:t xml:space="preserve"> – </w:t>
      </w:r>
      <w:r>
        <w:rPr>
          <w:rtl w:val="true"/>
        </w:rPr>
        <w:t>يلتزم الطرف الثاني بإنشاء سور حسب المواصفات المعتمدة من البلدية حول مكان الهدم</w:t>
      </w:r>
      <w:r>
        <w:rPr>
          <w:rtl w:val="true"/>
        </w:rPr>
        <w:t>.</w:t>
      </w:r>
    </w:p>
    <w:p>
      <w:pPr>
        <w:pStyle w:val="BodyText"/>
        <w:bidi w:val="1"/>
        <w:spacing w:before="0" w:after="0"/>
        <w:ind w:hanging="0" w:left="0" w:right="0"/>
        <w:jc w:val="left"/>
        <w:rPr/>
      </w:pPr>
      <w:r>
        <w:rPr/>
        <w:t>4</w:t>
      </w:r>
      <w:r>
        <w:rPr>
          <w:rtl w:val="true"/>
        </w:rPr>
        <w:t xml:space="preserve"> – </w:t>
      </w:r>
      <w:r>
        <w:rPr>
          <w:rtl w:val="true"/>
        </w:rPr>
        <w:t>يلتزم الطرف الثاني أن يكون الهدم بطريقة معتمدة من الدفاع المدني أو الجهات الحكومية المسؤولة ويحضر استخدام التفجير إلا بأخذ التصاريح اللازمة من الجهات المعنية</w:t>
      </w:r>
      <w:r>
        <w:rPr>
          <w:rtl w:val="true"/>
        </w:rPr>
        <w:t>.</w:t>
      </w:r>
    </w:p>
    <w:p>
      <w:pPr>
        <w:pStyle w:val="BodyText"/>
        <w:bidi w:val="1"/>
        <w:spacing w:before="0" w:after="0"/>
        <w:ind w:hanging="0" w:left="0" w:right="0"/>
        <w:jc w:val="left"/>
        <w:rPr/>
      </w:pPr>
      <w:r>
        <w:rPr/>
        <w:t>5</w:t>
      </w:r>
      <w:r>
        <w:rPr>
          <w:rtl w:val="true"/>
        </w:rPr>
        <w:t xml:space="preserve"> – </w:t>
      </w:r>
      <w:r>
        <w:rPr>
          <w:rtl w:val="true"/>
        </w:rPr>
        <w:t>يلتزم الطرف الثاني بالتوقف وإبلاغ الجهات المعنية فورا عند وجود أي مواد خطرة بالموقع أو تسبب تلوث بيئي</w:t>
      </w:r>
      <w:r>
        <w:rPr>
          <w:rtl w:val="true"/>
        </w:rPr>
        <w:t>.</w:t>
      </w:r>
    </w:p>
    <w:p>
      <w:pPr>
        <w:pStyle w:val="BodyText"/>
        <w:bidi w:val="1"/>
        <w:spacing w:before="0" w:after="0"/>
        <w:ind w:hanging="0" w:left="0" w:right="0"/>
        <w:jc w:val="left"/>
        <w:rPr/>
      </w:pPr>
      <w:r>
        <w:rPr/>
        <w:t>6</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لها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7</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8</w:t>
      </w:r>
      <w:r>
        <w:rPr>
          <w:rtl w:val="true"/>
        </w:rPr>
        <w:t xml:space="preserve"> – </w:t>
      </w:r>
      <w:r>
        <w:rPr>
          <w:rtl w:val="true"/>
        </w:rPr>
        <w:t>الأعمال المخالفة لوثائق العقد أو المنفذة بدون إذن أو استلام كتابي من مشرف المشروع ؛ فللطرف الأول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9</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فتكون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10</w:t>
      </w:r>
      <w:r>
        <w:rPr>
          <w:rtl w:val="true"/>
        </w:rPr>
        <w:t xml:space="preserve"> – </w:t>
      </w:r>
      <w:r>
        <w:rPr>
          <w:rtl w:val="true"/>
        </w:rPr>
        <w:t>عند نهاية أعمال مرحلة من المشروع أو انتهاء أعمال المشروع كاملاً يلتزم الطرفان بما يلي</w:t>
      </w:r>
      <w:r>
        <w:rPr>
          <w:rtl w:val="true"/>
        </w:rPr>
        <w:t>:</w:t>
      </w:r>
    </w:p>
    <w:p>
      <w:pPr>
        <w:pStyle w:val="BodyText"/>
        <w:bidi w:val="1"/>
        <w:spacing w:before="0" w:after="0"/>
        <w:ind w:hanging="0" w:left="0" w:right="0"/>
        <w:jc w:val="left"/>
        <w:rPr/>
      </w:pPr>
      <w:r>
        <w:rPr/>
        <w:t>10</w:t>
      </w:r>
      <w:r>
        <w:rPr>
          <w:rtl w:val="true"/>
        </w:rPr>
        <w:t xml:space="preserve"> – </w:t>
      </w:r>
      <w:r>
        <w:rPr/>
        <w:t>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10</w:t>
      </w:r>
      <w:r>
        <w:rPr>
          <w:rtl w:val="true"/>
        </w:rPr>
        <w:t xml:space="preserve"> – </w:t>
      </w:r>
      <w:r>
        <w:rPr/>
        <w:t>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وتسجيل الملاحظات، وإمهال الطرف الثاني مدة زمنية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10</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11</w:t>
      </w:r>
      <w:r>
        <w:rPr>
          <w:rtl w:val="true"/>
        </w:rPr>
        <w:t xml:space="preserve"> – </w:t>
      </w:r>
      <w:r>
        <w:rPr>
          <w:rtl w:val="true"/>
        </w:rPr>
        <w:t xml:space="preserve">تعليمات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يلتزم الطرف الثاني بالقيام أولا بمسح المبنى، والجوانب المخصصة له، وحقوق المرور، وأي مناطق متاحة لتعبئة المعدات والتخزين والتعامل مع الحطام</w:t>
      </w:r>
      <w:r>
        <w:rPr>
          <w:rtl w:val="true"/>
        </w:rPr>
        <w:t>.</w:t>
      </w:r>
    </w:p>
    <w:p>
      <w:pPr>
        <w:pStyle w:val="BodyText"/>
        <w:bidi w:val="1"/>
        <w:spacing w:before="0" w:after="0"/>
        <w:ind w:hanging="0" w:left="0" w:right="0"/>
        <w:jc w:val="left"/>
        <w:rPr/>
      </w:pPr>
      <w:r>
        <w:rPr/>
        <w:t>2</w:t>
      </w:r>
      <w:r>
        <w:rPr>
          <w:rtl w:val="true"/>
        </w:rPr>
        <w:t xml:space="preserve"> – </w:t>
      </w:r>
      <w:r>
        <w:rPr>
          <w:rtl w:val="true"/>
        </w:rPr>
        <w:t>يلتزم الطرف الثاني بالقيام بإجراء فحص بيئي إذا كان مطلوبًا بموجب التصريح</w:t>
      </w:r>
      <w:r>
        <w:rPr>
          <w:rtl w:val="true"/>
        </w:rPr>
        <w:t>.</w:t>
      </w:r>
    </w:p>
    <w:p>
      <w:pPr>
        <w:pStyle w:val="BodyText"/>
        <w:bidi w:val="1"/>
        <w:spacing w:before="0" w:after="0"/>
        <w:ind w:hanging="0" w:left="0" w:right="0"/>
        <w:jc w:val="left"/>
        <w:rPr/>
      </w:pPr>
      <w:r>
        <w:rPr/>
        <w:t>3</w:t>
      </w:r>
      <w:r>
        <w:rPr>
          <w:rtl w:val="true"/>
        </w:rPr>
        <w:t xml:space="preserve"> – </w:t>
      </w:r>
      <w:r>
        <w:rPr>
          <w:rtl w:val="true"/>
        </w:rPr>
        <w:t>يلتزم الطرف الثاني بالقيام بفصل التيار الكهربائي ومصدر المياه والخدمات الأخرى إن وجدت قبل القيام بعملية الهدم</w:t>
      </w:r>
      <w:r>
        <w:rPr>
          <w:rtl w:val="true"/>
        </w:rPr>
        <w:t>.</w:t>
      </w:r>
    </w:p>
    <w:p>
      <w:pPr>
        <w:pStyle w:val="BodyText"/>
        <w:bidi w:val="1"/>
        <w:spacing w:before="0" w:after="0"/>
        <w:ind w:hanging="0" w:left="0" w:right="0"/>
        <w:jc w:val="left"/>
        <w:rPr/>
      </w:pPr>
      <w:r>
        <w:rPr/>
        <w:t>4</w:t>
      </w:r>
      <w:r>
        <w:rPr>
          <w:rtl w:val="true"/>
        </w:rPr>
        <w:t xml:space="preserve"> – </w:t>
      </w:r>
      <w:r>
        <w:rPr>
          <w:rtl w:val="true"/>
        </w:rPr>
        <w:t>يلتزم الطرف الثاني بفك الأسقف المعدنية أولا إن وجدت قبل القيام بهدم الجدران</w:t>
      </w:r>
      <w:r>
        <w:rPr>
          <w:rtl w:val="true"/>
        </w:rPr>
        <w:t>.</w:t>
      </w:r>
    </w:p>
    <w:p>
      <w:pPr>
        <w:pStyle w:val="BodyText"/>
        <w:bidi w:val="1"/>
        <w:spacing w:before="0" w:after="0"/>
        <w:ind w:hanging="0" w:left="0" w:right="0"/>
        <w:jc w:val="left"/>
        <w:rPr/>
      </w:pPr>
      <w:r>
        <w:rPr/>
        <w:t>5</w:t>
      </w:r>
      <w:r>
        <w:rPr>
          <w:rtl w:val="true"/>
        </w:rPr>
        <w:t xml:space="preserve"> – </w:t>
      </w:r>
      <w:r>
        <w:rPr>
          <w:rtl w:val="true"/>
        </w:rPr>
        <w:t>في حال وجود جدران خشبية فيجب إزالتها قبل الجدران الإسمنتية والجدران المصنوعة من المعدن أو البلوك</w:t>
      </w:r>
      <w:r>
        <w:rPr>
          <w:rtl w:val="true"/>
        </w:rPr>
        <w:t>.</w:t>
      </w:r>
    </w:p>
    <w:p>
      <w:pPr>
        <w:pStyle w:val="BodyText"/>
        <w:bidi w:val="1"/>
        <w:spacing w:before="0" w:after="0"/>
        <w:ind w:hanging="0" w:left="0" w:right="0"/>
        <w:jc w:val="left"/>
        <w:rPr/>
      </w:pPr>
      <w:r>
        <w:rPr/>
        <w:t>6</w:t>
      </w:r>
      <w:r>
        <w:rPr>
          <w:rtl w:val="true"/>
        </w:rPr>
        <w:t xml:space="preserve"> – </w:t>
      </w:r>
      <w:r>
        <w:rPr>
          <w:rtl w:val="true"/>
        </w:rPr>
        <w:t>يلتزم الطرف الثاني قبل البدء في عملية الهدم بإخطار الجيران وجميع العاملين بالموقع وإتباع إرشادات السلامة القصوى</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الهدم وترحيل المخلفات</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الهدم وترحيل المخلفات</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