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INCIDENT RESPONSE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Roles &amp; Responsibilities Chart</w:t>
      </w:r>
    </w:p>
    <w:p>
      <w:pPr>
        <w:pBdr>
          <w:bottom w:val="single" w:color="C00000" w:sz="16" w:space="1"/>
        </w:pBdr>
        <w:spacing w:after="200"/>
        <w:jc w:val="center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FOCUS AREA: 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Phishing Incident Management Structure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04040"/>
          <w:sz w:val="20"/>
          <w:szCs w:val="20"/>
        </w:rPr>
        <w:t xml:space="preserve">This document outlines the specific roles, responsibilities, and authorities for individuals involved in the incident response process, structured for a tiered SOC environment.</w:t>
      </w:r>
    </w:p>
    <w:p>
      <w:pPr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RACI Matrix (Roles &amp; Responsibilities)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650"/>
        <w:gridCol w:w="3000"/>
      </w:tblGrid>
      <w:tr>
        <w:trPr>
          <w:tblHeader/>
        </w:trPr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46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Responsibilities in Phishing Incident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Authority Level</w:t>
            </w:r>
          </w:p>
        </w:tc>
      </w:tr>
      <w:t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CISO</w:t>
            </w:r>
          </w:p>
        </w:tc>
        <w:tc>
          <w:tcPr>
            <w:tcW w:type="dxa" w:w="4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High-level strategic decisions, board-level updates, and final approval for law enforcement involvement.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0"/>
                <w:szCs w:val="20"/>
              </w:rPr>
              <w:t xml:space="preserve">Strategic Oversight</w:t>
            </w:r>
          </w:p>
        </w:tc>
      </w:tr>
      <w:t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4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Incident Commander (IC). Declares the incident, coordinates the Communication Plan, and manages external vendor contact.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0"/>
                <w:szCs w:val="20"/>
              </w:rPr>
              <w:t xml:space="preserve">Operational Lead</w:t>
            </w:r>
          </w:p>
        </w:tc>
      </w:tr>
      <w:t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L1 Analyst</w:t>
            </w:r>
          </w:p>
        </w:tc>
        <w:tc>
          <w:tcPr>
            <w:tcW w:type="dxa" w:w="4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Monitoring alerts, initial triage of phishing reports, and extraction of IOCs (URLs, Hashes).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0"/>
                <w:szCs w:val="20"/>
              </w:rPr>
              <w:t xml:space="preserve">First Responder</w:t>
            </w:r>
          </w:p>
        </w:tc>
      </w:tr>
      <w:t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L2 Analyst</w:t>
            </w:r>
          </w:p>
        </w:tc>
        <w:tc>
          <w:tcPr>
            <w:tcW w:type="dxa" w:w="4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Determining incident scope, purging malicious emails from the server, and isolating affected host systems.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0"/>
                <w:szCs w:val="20"/>
              </w:rPr>
              <w:t xml:space="preserve">Tactical Execution</w:t>
            </w:r>
          </w:p>
        </w:tc>
      </w:tr>
      <w:t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L3 Analyst</w:t>
            </w:r>
          </w:p>
        </w:tc>
        <w:tc>
          <w:tcPr>
            <w:tcW w:type="dxa" w:w="4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Advanced malware reverse-engineering, threat hunting for persistence, and Root Cause Analysis (RCA).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0"/>
                <w:szCs w:val="20"/>
              </w:rPr>
              <w:t xml:space="preserve">Technical Expert</w:t>
            </w:r>
          </w:p>
        </w:tc>
      </w:tr>
      <w:t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4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Advising on compliance (GDPR/Local Law), liability risks, and drafting external notifications.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0"/>
                <w:szCs w:val="20"/>
              </w:rPr>
              <w:t xml:space="preserve">Compliance Advisor</w:t>
            </w:r>
          </w:p>
        </w:tc>
      </w:tr>
      <w:tr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IT Support</w:t>
            </w:r>
          </w:p>
        </w:tc>
        <w:tc>
          <w:tcPr>
            <w:tcW w:type="dxa" w:w="465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0"/>
                <w:szCs w:val="20"/>
              </w:rPr>
              <w:t xml:space="preserve">Implementing password resets, OS re-imaging, and assisting in system recovery.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5C8A"/>
                <w:sz w:val="20"/>
                <w:szCs w:val="20"/>
              </w:rPr>
              <w:t xml:space="preserve">Support Implementation</w:t>
            </w:r>
          </w:p>
        </w:tc>
      </w:tr>
    </w:tbl>
    <w:p>
      <w:pPr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Decision Authority</w:t>
      </w:r>
    </w:p>
    <w:p>
      <w:pPr>
        <w:spacing w:after="120"/>
      </w:pPr>
      <w:r>
        <w:rPr>
          <w:rFonts w:ascii="Calibri" w:cs="Calibri" w:eastAsia="Calibri" w:hAnsi="Calibri"/>
          <w:color w:val="404040"/>
          <w:sz w:val="21"/>
          <w:szCs w:val="21"/>
        </w:rPr>
        <w:t xml:space="preserve">Individuals identified in the roles above are empowered to execute actions as defined in the Incident Response Policy to ensure the containment and eradication of phishing threats.</w:t>
      </w:r>
    </w:p>
    <w:p>
      <w:pPr>
        <w:pBdr>
          <w:left w:val="single" w:color="1F3864" w:sz="24" w:space="8"/>
        </w:pBdr>
        <w:shd w:fill="D9E2F3" w:val="clear"/>
        <w:spacing w:before="3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  Note: </w:t>
      </w:r>
      <w:r>
        <w:rPr>
          <w:rFonts w:ascii="Calibri" w:cs="Calibri" w:eastAsia="Calibri" w:hAnsi="Calibri"/>
          <w:color w:val="1F3864"/>
          <w:sz w:val="20"/>
          <w:szCs w:val="20"/>
        </w:rPr>
        <w:t xml:space="preserve">Escalation between tiers (L1 → L2 → L3) should follow the timelines defined in the master Incident Response Policy document.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2026-07-07T13:14:30.106Z</dcterms:created>
  <dcterms:modified xsi:type="dcterms:W3CDTF">2026-07-07T13:14:30.106Z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