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b/>
          <w:color w:val="1B365D"/>
          <w:sz w:val="48"/>
        </w:rPr>
        <w:t>Incident Response Policy: Project 5</w:t>
      </w:r>
    </w:p>
    <w:p>
      <w:pPr>
        <w:keepNext/>
        <w:spacing w:before="320" w:after="120"/>
      </w:pPr>
      <w:r>
        <w:rPr>
          <w:b/>
          <w:color w:val="1B365D"/>
          <w:sz w:val="32"/>
        </w:rPr>
        <w:t>1. Purpose &amp; Scope</w:t>
      </w:r>
    </w:p>
    <w:p>
      <w:pPr>
        <w:spacing w:after="160"/>
      </w:pPr>
      <w:r>
        <w:t>The objective of this policy is to establish a formal framework for Project 5 to incorporate cybersecurity incident response recommendations and considerations throughout its risk management activities. This policy ensures that the organization has a common language for internal and external communication regarding incident response plans.</w:t>
      </w:r>
    </w:p>
    <w:p>
      <w:pPr>
        <w:spacing w:after="240"/>
      </w:pPr>
      <w:r>
        <w:t>The scope of this policy applies to all technology assets, personnel, and third-party contractors associated with Project 5. It governs the management of cybersecurity events, investigations, and the restoration of assets and operations affected by an incident.</w:t>
      </w:r>
    </w:p>
    <w:p>
      <w:pPr>
        <w:keepNext/>
        <w:spacing w:before="320" w:after="120"/>
      </w:pPr>
      <w:r>
        <w:rPr>
          <w:b/>
          <w:color w:val="1B365D"/>
          <w:sz w:val="32"/>
        </w:rPr>
        <w:t>2. IRT Roles and Responsibilities</w:t>
      </w:r>
    </w:p>
    <w:p>
      <w:pPr>
        <w:spacing w:after="120"/>
      </w:pPr>
      <w:r>
        <w:t>Cybersecurity roles, responsibilities, and authorities are established to foster accountability and continuous improvement.</w:t>
      </w:r>
    </w:p>
    <w:p>
      <w:pPr>
        <w:pStyle w:val="ListBullet"/>
        <w:spacing w:before="40" w:after="80"/>
      </w:pPr>
      <w:r>
        <w:rPr>
          <w:b/>
        </w:rPr>
        <w:t xml:space="preserve">Organizational Leadership: </w:t>
      </w:r>
      <w:r>
        <w:t>Responsible for overseeing incident response, allocating necessary funding, and providing decision-making authority for high-impact actions, such as shutting down critical services. They are accountable for fostering a risk-aware culture.</w:t>
      </w:r>
    </w:p>
    <w:p>
      <w:pPr>
        <w:pStyle w:val="ListBullet"/>
        <w:spacing w:before="40" w:after="80"/>
      </w:pPr>
      <w:r>
        <w:rPr>
          <w:b/>
        </w:rPr>
        <w:t xml:space="preserve">Incident Lead: </w:t>
      </w:r>
      <w:r>
        <w:t>For each declared incident, an incident lead may be designated to coordinate the specific response effort.</w:t>
      </w:r>
    </w:p>
    <w:p>
      <w:pPr>
        <w:pStyle w:val="ListBullet"/>
        <w:spacing w:before="40" w:after="80"/>
      </w:pPr>
      <w:r>
        <w:rPr>
          <w:b/>
        </w:rPr>
        <w:t xml:space="preserve">Incident Handlers: </w:t>
      </w:r>
      <w:r>
        <w:t>Responsible for verifying that an incident has occurred, collecting and analyzing evidence, prioritizing response activities, and acting to limit damage and find root causes. They provide input on improving organizational resiliency.</w:t>
      </w:r>
    </w:p>
    <w:p>
      <w:pPr>
        <w:pStyle w:val="ListBullet"/>
        <w:spacing w:before="40" w:after="80"/>
      </w:pPr>
      <w:r>
        <w:rPr>
          <w:b/>
        </w:rPr>
        <w:t xml:space="preserve">Third Parties: </w:t>
      </w:r>
      <w:r>
        <w:t>Organizations under contract may be designated specific authorities and responsibilities to assist in incident response activities.</w:t>
      </w:r>
    </w:p>
    <w:p>
      <w:pPr>
        <w:pStyle w:val="ListBullet"/>
        <w:spacing w:before="40" w:after="80"/>
      </w:pPr>
      <w:r>
        <w:rPr>
          <w:b/>
        </w:rPr>
        <w:t xml:space="preserve">Legal Department: </w:t>
      </w:r>
      <w:r>
        <w:t>Consulted to determine the feasibility and legal implications of specific response strategies, such as the use of sandboxes for attacker monitoring.</w:t>
      </w:r>
    </w:p>
    <w:p>
      <w:pPr>
        <w:keepNext/>
        <w:spacing w:before="320" w:after="120"/>
      </w:pPr>
      <w:r>
        <w:rPr>
          <w:b/>
          <w:color w:val="1B365D"/>
          <w:sz w:val="32"/>
        </w:rPr>
        <w:t>3. Communication Plan</w:t>
      </w:r>
    </w:p>
    <w:p>
      <w:pPr>
        <w:spacing w:after="120"/>
      </w:pPr>
      <w:r>
        <w:t>Incident response reporting and communication follow established protocols to ensure all internal and external stakeholders are informed.</w:t>
      </w:r>
    </w:p>
    <w:p>
      <w:pPr>
        <w:pStyle w:val="ListBullet"/>
        <w:spacing w:before="40" w:after="80"/>
      </w:pPr>
      <w:r>
        <w:rPr>
          <w:b/>
        </w:rPr>
        <w:t xml:space="preserve">Incident Coordination: </w:t>
      </w:r>
      <w:r>
        <w:t>Communicating current and planned response activities among internal and external parties with defined IR roles.</w:t>
      </w:r>
    </w:p>
    <w:p>
      <w:pPr>
        <w:pStyle w:val="ListBullet"/>
        <w:spacing w:before="40" w:after="80"/>
      </w:pPr>
      <w:r>
        <w:rPr>
          <w:b/>
        </w:rPr>
        <w:t xml:space="preserve">Incident Notification: </w:t>
      </w:r>
      <w:r>
        <w:t>Formally informing affected customers, employees, partners, and regulators about data breaches or other incidents in compliance with current laws and regulations.</w:t>
      </w:r>
    </w:p>
    <w:p>
      <w:pPr>
        <w:pStyle w:val="ListBullet"/>
        <w:spacing w:before="40" w:after="80"/>
      </w:pPr>
      <w:r>
        <w:rPr>
          <w:b/>
        </w:rPr>
        <w:t xml:space="preserve">Public Communication: </w:t>
      </w:r>
      <w:r>
        <w:t>Managing communications to the public, including responding to media inquiries, using approved messaging and methods.</w:t>
      </w:r>
    </w:p>
    <w:p>
      <w:pPr>
        <w:pStyle w:val="ListBullet"/>
        <w:spacing w:before="40" w:after="80"/>
      </w:pPr>
      <w:r>
        <w:rPr>
          <w:b/>
        </w:rPr>
        <w:t xml:space="preserve">Incident Information Sharing: </w:t>
      </w:r>
      <w:r>
        <w:t>Sharing threat information with external partners, often voluntarily, based on activity observed within technology assets.</w:t>
      </w:r>
    </w:p>
    <w:p>
      <w:pPr>
        <w:pStyle w:val="ListBullet"/>
        <w:spacing w:before="40" w:after="80"/>
      </w:pPr>
      <w:r>
        <w:rPr>
          <w:b/>
        </w:rPr>
        <w:t xml:space="preserve">Recovery Communication: </w:t>
      </w:r>
      <w:r>
        <w:t>Securely sharing restoration progress with senior leadership and designated stakeholders.</w:t>
      </w:r>
    </w:p>
    <w:p>
      <w:pPr>
        <w:keepNext/>
        <w:spacing w:before="320" w:after="120"/>
      </w:pPr>
      <w:r>
        <w:rPr>
          <w:b/>
          <w:color w:val="1B365D"/>
          <w:sz w:val="32"/>
        </w:rPr>
        <w:t>4. Incident Categorization, Severity, and Classification</w:t>
      </w:r>
    </w:p>
    <w:p>
      <w:pPr>
        <w:spacing w:after="120"/>
      </w:pPr>
      <w:r>
        <w:t>Incidents must be triaged, validated, and managed based on their overall risk to Project 5 to ensure the organization focuses its limited resources on the most critical threats.</w:t>
      </w:r>
    </w:p>
    <w:p>
      <w:pPr>
        <w:pStyle w:val="ListBullet"/>
        <w:spacing w:before="40" w:after="80"/>
      </w:pPr>
      <w:r>
        <w:rPr>
          <w:b/>
        </w:rPr>
        <w:t xml:space="preserve">Incident Categorization: </w:t>
      </w:r>
      <w:r>
        <w:t>Upon declaration, incidents are categorized by type to determine the appropriate response strategy. Standard categories include:</w:t>
      </w:r>
    </w:p>
    <w:p>
      <w:pPr>
        <w:pStyle w:val="ListBullet2"/>
        <w:spacing w:before="20" w:after="40"/>
      </w:pPr>
      <w:r>
        <w:rPr>
          <w:b/>
        </w:rPr>
        <w:t xml:space="preserve">Data Breach: </w:t>
      </w:r>
      <w:r>
        <w:t>Unauthorized access to or exfiltration of sensitive data.</w:t>
      </w:r>
    </w:p>
    <w:p>
      <w:pPr>
        <w:pStyle w:val="ListBullet2"/>
        <w:spacing w:before="20" w:after="40"/>
      </w:pPr>
      <w:r>
        <w:rPr>
          <w:b/>
        </w:rPr>
        <w:t xml:space="preserve">Ransomware: </w:t>
      </w:r>
      <w:r>
        <w:t>Malicious encryption of data for extortion.</w:t>
      </w:r>
    </w:p>
    <w:p>
      <w:pPr>
        <w:pStyle w:val="ListBullet2"/>
        <w:spacing w:before="20" w:after="40"/>
      </w:pPr>
      <w:r>
        <w:rPr>
          <w:b/>
        </w:rPr>
        <w:t xml:space="preserve">Account Takeover: </w:t>
      </w:r>
      <w:r>
        <w:t>Unauthorized control of user credentials.</w:t>
      </w:r>
    </w:p>
    <w:p>
      <w:pPr>
        <w:pStyle w:val="ListBullet2"/>
        <w:spacing w:before="20" w:after="40"/>
      </w:pPr>
      <w:r>
        <w:rPr>
          <w:b/>
        </w:rPr>
        <w:t xml:space="preserve">Denial of Service (DoS): </w:t>
      </w:r>
      <w:r>
        <w:t>Attacks intended to make services unavailable.</w:t>
      </w:r>
    </w:p>
    <w:p>
      <w:pPr>
        <w:pStyle w:val="ListBullet"/>
        <w:spacing w:before="40" w:after="80"/>
      </w:pPr>
      <w:r>
        <w:rPr>
          <w:b/>
        </w:rPr>
        <w:t xml:space="preserve">Incident Severity: </w:t>
      </w:r>
      <w:r>
        <w:t>Severity is estimated during the preliminary review to determine the level of urgency needed. It is calculated based on the following Risk Evaluation Factors:</w:t>
      </w:r>
    </w:p>
    <w:p>
      <w:pPr>
        <w:pStyle w:val="ListBullet2"/>
        <w:spacing w:before="20" w:after="40"/>
      </w:pPr>
      <w:r>
        <w:rPr>
          <w:b/>
        </w:rPr>
        <w:t xml:space="preserve">Functional Impact: </w:t>
      </w:r>
      <w:r>
        <w:t>The degree to which the incident affects the organization's mission and operations.</w:t>
      </w:r>
    </w:p>
    <w:p>
      <w:pPr>
        <w:pStyle w:val="ListBullet2"/>
        <w:spacing w:before="20" w:after="40"/>
      </w:pPr>
      <w:r>
        <w:rPr>
          <w:b/>
        </w:rPr>
        <w:t xml:space="preserve">Data Impact: </w:t>
      </w:r>
      <w:r>
        <w:t>The volume and sensitivity of the data involved.</w:t>
      </w:r>
    </w:p>
    <w:p>
      <w:pPr>
        <w:pStyle w:val="ListBullet2"/>
        <w:spacing w:before="20" w:after="40"/>
      </w:pPr>
      <w:r>
        <w:rPr>
          <w:b/>
        </w:rPr>
        <w:t xml:space="preserve">Asset Criticality: </w:t>
      </w:r>
      <w:r>
        <w:t>The importance of the affected systems (e.g., hardware, software, services) to the organization.</w:t>
      </w:r>
    </w:p>
    <w:p>
      <w:pPr>
        <w:pStyle w:val="ListBullet2"/>
        <w:spacing w:before="20" w:after="40"/>
      </w:pPr>
      <w:r>
        <w:rPr>
          <w:b/>
        </w:rPr>
        <w:t xml:space="preserve">Stage of Activity: </w:t>
      </w:r>
      <w:r>
        <w:t>Where the attacker is in their life cycle; early detection reduces impact.</w:t>
      </w:r>
    </w:p>
    <w:p>
      <w:pPr>
        <w:pStyle w:val="ListBullet"/>
        <w:spacing w:before="40" w:after="80"/>
      </w:pPr>
      <w:r>
        <w:rPr>
          <w:b/>
        </w:rPr>
        <w:t xml:space="preserve">Asset &amp; Data Classification: </w:t>
      </w:r>
      <w:r>
        <w:t>Prioritization of response efforts must align with established asset and data classifications. IR teams must have access to data inventories that include classification levels to understand what data may have been involved.</w:t>
      </w:r>
    </w:p>
    <w:p>
      <w:pPr>
        <w:pStyle w:val="ListBullet"/>
        <w:spacing w:before="40" w:after="80"/>
      </w:pPr>
      <w:r>
        <w:rPr>
          <w:b/>
        </w:rPr>
        <w:t xml:space="preserve">Escalation &amp; Elevation: </w:t>
      </w:r>
      <w:r>
        <w:t>Escalation involves the rapid initiation of additional resources or time frames when the current response strategy is insufficient. Elevation is the process of involving higher levels of management in response efforts, typically for high-impact actions.</w:t>
      </w:r>
    </w:p>
    <w:p>
      <w:pPr>
        <w:keepNext/>
        <w:spacing w:before="320" w:after="120"/>
      </w:pPr>
      <w:r>
        <w:rPr>
          <w:b/>
          <w:color w:val="1B365D"/>
          <w:sz w:val="32"/>
        </w:rPr>
        <w:t>5. NIST CSF 2.0 Alignment</w:t>
      </w:r>
    </w:p>
    <w:p>
      <w:pPr>
        <w:spacing w:after="120"/>
      </w:pPr>
      <w:r>
        <w:t>This policy aligns with the six NIST Cybersecurity Framework (CSF) 2.0 Functions to ensure global best practices are followed:</w:t>
      </w:r>
    </w:p>
    <w:p>
      <w:pPr>
        <w:pStyle w:val="ListBullet"/>
        <w:spacing w:before="40" w:after="80"/>
      </w:pPr>
      <w:r>
        <w:rPr>
          <w:b/>
        </w:rPr>
        <w:t xml:space="preserve">Govern (GV): </w:t>
      </w:r>
      <w:r>
        <w:t>Establishing the IR policy and strategy and ensuring it is reviewed and updated to reflect changes in threats and technology.</w:t>
      </w:r>
    </w:p>
    <w:p>
      <w:pPr>
        <w:pStyle w:val="ListBullet"/>
        <w:spacing w:before="40" w:after="80"/>
      </w:pPr>
      <w:r>
        <w:rPr>
          <w:b/>
        </w:rPr>
        <w:t xml:space="preserve">Identify (ID): </w:t>
      </w:r>
      <w:r>
        <w:t>Understanding current cybersecurity risks to assets and identifying improvements from incident evaluations and 'lessons learned' meetings.</w:t>
      </w:r>
    </w:p>
    <w:p>
      <w:pPr>
        <w:pStyle w:val="ListBullet"/>
        <w:spacing w:before="40" w:after="80"/>
      </w:pPr>
      <w:r>
        <w:rPr>
          <w:b/>
        </w:rPr>
        <w:t xml:space="preserve">Protect (PR): </w:t>
      </w:r>
      <w:r>
        <w:t>Using safeguards to reduce the number and impact of incidents, such as identity management and role-based training.</w:t>
      </w:r>
    </w:p>
    <w:p>
      <w:pPr>
        <w:pStyle w:val="ListBullet"/>
        <w:spacing w:before="40" w:after="80"/>
      </w:pPr>
      <w:r>
        <w:rPr>
          <w:b/>
        </w:rPr>
        <w:t xml:space="preserve">Detect (DE): </w:t>
      </w:r>
      <w:r>
        <w:t>Finding and analyzing possible attacks through automated alerts and the integration of cyber threat intelligence.</w:t>
      </w:r>
    </w:p>
    <w:p>
      <w:pPr>
        <w:pStyle w:val="ListBullet"/>
        <w:spacing w:before="40" w:after="80"/>
      </w:pPr>
      <w:r>
        <w:rPr>
          <w:b/>
        </w:rPr>
        <w:t xml:space="preserve">Respond (RS): </w:t>
      </w:r>
      <w:r>
        <w:t>Executing the incident response plan, containing threats, and eradicating persistence mechanisms.</w:t>
      </w:r>
    </w:p>
    <w:p>
      <w:pPr>
        <w:pStyle w:val="ListBullet"/>
        <w:spacing w:before="40" w:after="80"/>
      </w:pPr>
      <w:r>
        <w:rPr>
          <w:b/>
        </w:rPr>
        <w:t xml:space="preserve">Recover (RC): </w:t>
      </w:r>
      <w:r>
        <w:t>Restoring systems to normal operations from clean backups and verifying the integrity of recovered assets.</w:t>
      </w:r>
    </w:p>
    <w:p>
      <w:pPr>
        <w:keepNext/>
        <w:spacing w:before="320" w:after="120"/>
      </w:pPr>
      <w:r>
        <w:rPr>
          <w:b/>
          <w:color w:val="1B365D"/>
          <w:sz w:val="32"/>
        </w:rPr>
        <w:t>6. Service Level Agreements (SLAs) and Timelines</w:t>
      </w:r>
    </w:p>
    <w:p>
      <w:pPr>
        <w:spacing w:after="120"/>
      </w:pPr>
      <w:r>
        <w:t>Project 5 adheres to defined timeframes for reporting, notification, and response actions to maintain operational resilience and legal compliance.</w:t>
      </w:r>
    </w:p>
    <w:p>
      <w:pPr>
        <w:pStyle w:val="ListBullet"/>
        <w:spacing w:before="40" w:after="80"/>
      </w:pPr>
      <w:r>
        <w:rPr>
          <w:b/>
        </w:rPr>
        <w:t xml:space="preserve">Response Speed Prioritization: </w:t>
      </w:r>
      <w:r>
        <w:t>The speed of the response is prioritized based on the incident’s severity, scope, and time-critical nature.</w:t>
      </w:r>
    </w:p>
    <w:p>
      <w:pPr>
        <w:pStyle w:val="ListBullet"/>
        <w:spacing w:before="40" w:after="80"/>
      </w:pPr>
      <w:r>
        <w:rPr>
          <w:b/>
        </w:rPr>
        <w:t xml:space="preserve">Internal Status Updates: </w:t>
      </w:r>
      <w:r>
        <w:t>Incident leads are responsible for tracking the status and expected timeframe for each assigned response action.</w:t>
      </w:r>
    </w:p>
    <w:p>
      <w:pPr>
        <w:pStyle w:val="ListBullet"/>
        <w:spacing w:before="40" w:after="80"/>
      </w:pPr>
      <w:r>
        <w:rPr>
          <w:b/>
        </w:rPr>
        <w:t xml:space="preserve">Notification SLAs: </w:t>
      </w:r>
      <w:r>
        <w:t>Notifications to internal and external stakeholders must follow established protocols regarding specific times (e.g., initial notification vs. regular status updates).</w:t>
      </w:r>
    </w:p>
    <w:p>
      <w:pPr>
        <w:pStyle w:val="ListBullet"/>
        <w:spacing w:before="40" w:after="80"/>
      </w:pPr>
      <w:r>
        <w:rPr>
          <w:b/>
        </w:rPr>
        <w:t xml:space="preserve">Regulatory &amp; Contractual Timelines: </w:t>
      </w:r>
      <w:r>
        <w:t>Response and reporting activities must be managed to meet legal and contractual requirements for data breach reporting and incident notifications.</w:t>
      </w:r>
    </w:p>
    <w:p>
      <w:pPr>
        <w:pStyle w:val="ListBullet"/>
        <w:spacing w:before="40" w:after="80"/>
      </w:pPr>
      <w:r>
        <w:rPr>
          <w:b/>
        </w:rPr>
        <w:t xml:space="preserve">Escalation Criteria: </w:t>
      </w:r>
      <w:r>
        <w:t>If a response strategy is not meeting established timeframes or resources are insufficient, the incident must be escalated (to increase resources) or elevated (to involve higher management).</w:t>
      </w:r>
    </w:p>
    <w:p>
      <w:pPr>
        <w:keepNext/>
        <w:spacing w:before="320" w:after="120"/>
      </w:pPr>
      <w:r>
        <w:rPr>
          <w:b/>
          <w:color w:val="1B365D"/>
          <w:sz w:val="32"/>
        </w:rPr>
        <w:t>7. Summary Template for Incident Severity Levels</w:t>
      </w:r>
    </w:p>
    <w:p>
      <w:pPr>
        <w:spacing w:after="160"/>
      </w:pPr>
      <w:r>
        <w:t>The following matrix summarizes the response goals based on the determined incident severity level:</w:t>
      </w:r>
    </w:p>
    <w:tbl>
      <w:tblPr>
        <w:tblW w:type="auto" w:w="0"/>
        <w:tblLayout w:type="fixed"/>
        <w:tblLook w:firstColumn="1" w:firstRow="1" w:lastColumn="0" w:lastRow="0" w:noHBand="0" w:noVBand="1" w:val="04A0"/>
      </w:tblPr>
      <w:tblGrid>
        <w:gridCol w:w="2880"/>
        <w:gridCol w:w="2880"/>
        <w:gridCol w:w="2880"/>
      </w:tblGrid>
      <w:tr>
        <w:trPr>
          <w:cantSplit/>
          <w:tblHeader/>
        </w:trPr>
        <w:tc>
          <w:tcPr>
            <w:tcW w:type="dxa" w:w="2160"/>
            <w:tcMar>
              <w:top w:w="120" w:type="dxa"/>
              <w:bottom w:w="120" w:type="dxa"/>
              <w:left w:w="150" w:type="dxa"/>
              <w:right w:w="150" w:type="dxa"/>
            </w:tcMar>
            <w:shd w:fill="1B365D"/>
          </w:tcPr>
          <w:p>
            <w:pPr>
              <w:spacing w:before="0" w:after="0"/>
            </w:pPr>
            <w:r>
              <w:rPr>
                <w:b/>
                <w:color w:val="FFFFFF"/>
              </w:rPr>
              <w:t>Severity Level</w:t>
            </w:r>
          </w:p>
        </w:tc>
        <w:tc>
          <w:tcPr>
            <w:tcW w:type="dxa" w:w="5760"/>
            <w:tcMar>
              <w:top w:w="120" w:type="dxa"/>
              <w:bottom w:w="120" w:type="dxa"/>
              <w:left w:w="150" w:type="dxa"/>
              <w:right w:w="150" w:type="dxa"/>
            </w:tcMar>
            <w:shd w:fill="1B365D"/>
          </w:tcPr>
          <w:p>
            <w:pPr>
              <w:spacing w:before="0" w:after="0"/>
            </w:pPr>
            <w:r>
              <w:rPr>
                <w:b/>
                <w:color w:val="FFFFFF"/>
              </w:rPr>
              <w:t>Definition</w:t>
            </w:r>
          </w:p>
        </w:tc>
        <w:tc>
          <w:tcPr>
            <w:tcW w:type="dxa" w:w="2880"/>
            <w:tcMar>
              <w:top w:w="120" w:type="dxa"/>
              <w:bottom w:w="120" w:type="dxa"/>
              <w:left w:w="150" w:type="dxa"/>
              <w:right w:w="150" w:type="dxa"/>
            </w:tcMar>
            <w:shd w:fill="1B365D"/>
          </w:tcPr>
          <w:p>
            <w:pPr>
              <w:spacing w:before="0" w:after="0"/>
            </w:pPr>
            <w:r>
              <w:rPr>
                <w:b/>
                <w:color w:val="FFFFFF"/>
              </w:rPr>
              <w:t>Response SLA Goal (Initial Action)</w:t>
            </w:r>
          </w:p>
        </w:tc>
      </w:tr>
      <w:tr>
        <w:trPr>
          <w:cantSplit/>
        </w:trPr>
        <w:tc>
          <w:tcPr>
            <w:tcW w:type="dxa" w:w="2160"/>
            <w:tcMar>
              <w:top w:w="120" w:type="dxa"/>
              <w:bottom w:w="120" w:type="dxa"/>
              <w:left w:w="150" w:type="dxa"/>
              <w:right w:w="150" w:type="dxa"/>
            </w:tcMar>
            <w:shd w:fill="F4F7F9"/>
          </w:tcPr>
          <w:p>
            <w:pPr>
              <w:spacing w:before="0" w:after="0"/>
            </w:pPr>
            <w:r>
              <w:rPr>
                <w:b/>
              </w:rPr>
              <w:t>Critical</w:t>
            </w:r>
          </w:p>
        </w:tc>
        <w:tc>
          <w:tcPr>
            <w:tcW w:type="dxa" w:w="5760"/>
            <w:tcMar>
              <w:top w:w="120" w:type="dxa"/>
              <w:bottom w:w="120" w:type="dxa"/>
              <w:left w:w="150" w:type="dxa"/>
              <w:right w:w="150" w:type="dxa"/>
            </w:tcMar>
            <w:shd w:fill="F4F7F9"/>
          </w:tcPr>
          <w:p>
            <w:pPr>
              <w:spacing w:before="0" w:after="0"/>
            </w:pPr>
            <w:r>
              <w:t>High functional impact on critical mission services; high-sensitivity data breach.</w:t>
            </w:r>
          </w:p>
        </w:tc>
        <w:tc>
          <w:tcPr>
            <w:tcW w:type="dxa" w:w="2880"/>
            <w:tcMar>
              <w:top w:w="120" w:type="dxa"/>
              <w:bottom w:w="120" w:type="dxa"/>
              <w:left w:w="150" w:type="dxa"/>
              <w:right w:w="150" w:type="dxa"/>
            </w:tcMar>
            <w:shd w:fill="F4F7F9"/>
          </w:tcPr>
          <w:p>
            <w:pPr>
              <w:spacing w:before="0" w:after="0"/>
            </w:pPr>
            <w:r>
              <w:t>Immediate / &lt; 1 Hour</w:t>
            </w:r>
          </w:p>
        </w:tc>
      </w:tr>
      <w:tr>
        <w:trPr>
          <w:cantSplit/>
        </w:trPr>
        <w:tc>
          <w:tcPr>
            <w:tcW w:type="dxa" w:w="2160"/>
            <w:tcMar>
              <w:top w:w="120" w:type="dxa"/>
              <w:bottom w:w="120" w:type="dxa"/>
              <w:left w:w="150" w:type="dxa"/>
              <w:right w:w="150" w:type="dxa"/>
            </w:tcMar>
          </w:tcPr>
          <w:p>
            <w:pPr>
              <w:spacing w:before="0" w:after="0"/>
            </w:pPr>
            <w:r>
              <w:rPr>
                <w:b/>
              </w:rPr>
              <w:t>High</w:t>
            </w:r>
          </w:p>
        </w:tc>
        <w:tc>
          <w:tcPr>
            <w:tcW w:type="dxa" w:w="5760"/>
            <w:tcMar>
              <w:top w:w="120" w:type="dxa"/>
              <w:bottom w:w="120" w:type="dxa"/>
              <w:left w:w="150" w:type="dxa"/>
              <w:right w:w="150" w:type="dxa"/>
            </w:tcMar>
          </w:tcPr>
          <w:p>
            <w:pPr>
              <w:spacing w:before="0" w:after="0"/>
            </w:pPr>
            <w:r>
              <w:t>Significant impact on department-level operations; large-scale malware or ransomware.</w:t>
            </w:r>
          </w:p>
        </w:tc>
        <w:tc>
          <w:tcPr>
            <w:tcW w:type="dxa" w:w="2880"/>
            <w:tcMar>
              <w:top w:w="120" w:type="dxa"/>
              <w:bottom w:w="120" w:type="dxa"/>
              <w:left w:w="150" w:type="dxa"/>
              <w:right w:w="150" w:type="dxa"/>
            </w:tcMar>
          </w:tcPr>
          <w:p>
            <w:pPr>
              <w:spacing w:before="0" w:after="0"/>
            </w:pPr>
            <w:r>
              <w:t>&lt; 4 Hours</w:t>
            </w:r>
          </w:p>
        </w:tc>
      </w:tr>
      <w:tr>
        <w:trPr>
          <w:cantSplit/>
        </w:trPr>
        <w:tc>
          <w:tcPr>
            <w:tcW w:type="dxa" w:w="2160"/>
            <w:tcMar>
              <w:top w:w="120" w:type="dxa"/>
              <w:bottom w:w="120" w:type="dxa"/>
              <w:left w:w="150" w:type="dxa"/>
              <w:right w:w="150" w:type="dxa"/>
            </w:tcMar>
            <w:shd w:fill="F4F7F9"/>
          </w:tcPr>
          <w:p>
            <w:pPr>
              <w:spacing w:before="0" w:after="0"/>
            </w:pPr>
            <w:r>
              <w:rPr>
                <w:b/>
              </w:rPr>
              <w:t>Medium</w:t>
            </w:r>
          </w:p>
        </w:tc>
        <w:tc>
          <w:tcPr>
            <w:tcW w:type="dxa" w:w="5760"/>
            <w:tcMar>
              <w:top w:w="120" w:type="dxa"/>
              <w:bottom w:w="120" w:type="dxa"/>
              <w:left w:w="150" w:type="dxa"/>
              <w:right w:w="150" w:type="dxa"/>
            </w:tcMar>
            <w:shd w:fill="F4F7F9"/>
          </w:tcPr>
          <w:p>
            <w:pPr>
              <w:spacing w:before="0" w:after="0"/>
            </w:pPr>
            <w:r>
              <w:t>Moderate impact; localized account takeover or suspicious activity on non-critical assets.</w:t>
            </w:r>
          </w:p>
        </w:tc>
        <w:tc>
          <w:tcPr>
            <w:tcW w:type="dxa" w:w="2880"/>
            <w:tcMar>
              <w:top w:w="120" w:type="dxa"/>
              <w:bottom w:w="120" w:type="dxa"/>
              <w:left w:w="150" w:type="dxa"/>
              <w:right w:w="150" w:type="dxa"/>
            </w:tcMar>
            <w:shd w:fill="F4F7F9"/>
          </w:tcPr>
          <w:p>
            <w:pPr>
              <w:spacing w:before="0" w:after="0"/>
            </w:pPr>
            <w:r>
              <w:t>&lt; 8 Hours</w:t>
            </w:r>
          </w:p>
        </w:tc>
      </w:tr>
      <w:tr>
        <w:trPr>
          <w:cantSplit/>
        </w:trPr>
        <w:tc>
          <w:tcPr>
            <w:tcW w:type="dxa" w:w="2160"/>
            <w:tcMar>
              <w:top w:w="120" w:type="dxa"/>
              <w:bottom w:w="120" w:type="dxa"/>
              <w:left w:w="150" w:type="dxa"/>
              <w:right w:w="150" w:type="dxa"/>
            </w:tcMar>
          </w:tcPr>
          <w:p>
            <w:pPr>
              <w:spacing w:before="0" w:after="0"/>
            </w:pPr>
            <w:r>
              <w:rPr>
                <w:b/>
              </w:rPr>
              <w:t>Low</w:t>
            </w:r>
          </w:p>
        </w:tc>
        <w:tc>
          <w:tcPr>
            <w:tcW w:type="dxa" w:w="5760"/>
            <w:tcMar>
              <w:top w:w="120" w:type="dxa"/>
              <w:bottom w:w="120" w:type="dxa"/>
              <w:left w:w="150" w:type="dxa"/>
              <w:right w:w="150" w:type="dxa"/>
            </w:tcMar>
          </w:tcPr>
          <w:p>
            <w:pPr>
              <w:spacing w:before="0" w:after="0"/>
            </w:pPr>
            <w:r>
              <w:t>Minimal impact; isolated anomalies or failed access attempts.</w:t>
            </w:r>
          </w:p>
        </w:tc>
        <w:tc>
          <w:tcPr>
            <w:tcW w:type="dxa" w:w="2880"/>
            <w:tcMar>
              <w:top w:w="120" w:type="dxa"/>
              <w:bottom w:w="120" w:type="dxa"/>
              <w:left w:w="150" w:type="dxa"/>
              <w:right w:w="150" w:type="dxa"/>
            </w:tcMar>
          </w:tcPr>
          <w:p>
            <w:pPr>
              <w:spacing w:before="0" w:after="0"/>
            </w:pPr>
            <w:r>
              <w:t>&lt; 24 Hours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