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mbria" w:cs="Cambria" w:eastAsia="Cambria" w:hAnsi="Cambria"/>
          <w:b/>
          <w:bCs/>
          <w:color w:val="1F2A44"/>
          <w:sz w:val="52"/>
          <w:szCs w:val="52"/>
        </w:rPr>
        <w:t xml:space="preserve">INCIDENT RESPONSE</w:t>
      </w:r>
    </w:p>
    <w:p>
      <w:pPr>
        <w:spacing w:after="60"/>
        <w:jc w:val="center"/>
      </w:pPr>
      <w:r>
        <w:rPr>
          <w:rFonts w:ascii="Cambria" w:cs="Cambria" w:eastAsia="Cambria" w:hAnsi="Cambria"/>
          <w:b/>
          <w:bCs/>
          <w:color w:val="1F2A44"/>
          <w:sz w:val="52"/>
          <w:szCs w:val="52"/>
        </w:rPr>
        <w:t xml:space="preserve">PLAYBOOK TEMPLATE</w:t>
      </w:r>
    </w:p>
    <w:p>
      <w:pPr>
        <w:spacing w:after="100" w:before="150"/>
        <w:jc w:val="center"/>
      </w:pPr>
      <w:r>
        <w:rPr>
          <w:rFonts w:ascii="Calibri" w:cs="Calibri" w:eastAsia="Calibri" w:hAnsi="Calibri"/>
          <w:i/>
          <w:iCs/>
          <w:color w:val="595959"/>
          <w:sz w:val="24"/>
          <w:szCs w:val="24"/>
        </w:rPr>
        <w:t xml:space="preserve">Worked Example: Phishing — SANS Incident Handling Framework</w:t>
      </w:r>
    </w:p>
    <w:p>
      <w:pPr>
        <w:spacing w:after="700" w:before="100"/>
        <w:jc w:val="center"/>
      </w:pPr>
      <w:r>
        <w:rPr>
          <w:rFonts w:ascii="Calibri" w:cs="Calibri" w:eastAsia="Calibri" w:hAnsi="Calibri"/>
          <w:color w:val="3B5978"/>
          <w:sz w:val="22"/>
          <w:szCs w:val="22"/>
        </w:rPr>
        <w:t xml:space="preserve">Week 1 Deliverable — Incident Preparation &amp; Team Setup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EDF1F5" w:val="clear"/>
            <w:tcMar>
              <w:top w:type="dxa" w:w="70"/>
              <w:left w:type="dxa" w:w="90"/>
              <w:bottom w:type="dxa" w:w="70"/>
              <w:right w:type="dxa" w:w="90"/>
            </w:tcMar>
            <w:vAlign w:val="center"/>
          </w:tcPr>
          <w:p>
            <w:pPr>
              <w:jc w:val="left"/>
            </w:pPr>
            <w:r>
              <w:rPr>
                <w:rFonts w:ascii="Calibri" w:cs="Calibri" w:eastAsia="Calibri" w:hAnsi="Calibri"/>
                <w:b/>
                <w:bCs/>
                <w:color w:val="000000"/>
                <w:sz w:val="18"/>
                <w:szCs w:val="18"/>
              </w:rPr>
              <w:t xml:space="preserve">Document Title</w:t>
            </w:r>
          </w:p>
        </w:tc>
        <w:tc>
          <w:tcPr>
            <w:tcW w:type="dxa" w:w="67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Incident Response Playbook Template</w:t>
            </w:r>
          </w:p>
        </w:tc>
      </w:tr>
      <w:tr>
        <w:tc>
          <w:tcPr>
            <w:tcW w:type="dxa" w:w="2600"/>
            <w:shd w:fill="EDF1F5" w:val="clear"/>
            <w:tcMar>
              <w:top w:type="dxa" w:w="70"/>
              <w:left w:type="dxa" w:w="90"/>
              <w:bottom w:type="dxa" w:w="70"/>
              <w:right w:type="dxa" w:w="90"/>
            </w:tcMar>
            <w:vAlign w:val="center"/>
          </w:tcPr>
          <w:p>
            <w:pPr>
              <w:jc w:val="left"/>
            </w:pPr>
            <w:r>
              <w:rPr>
                <w:rFonts w:ascii="Calibri" w:cs="Calibri" w:eastAsia="Calibri" w:hAnsi="Calibri"/>
                <w:b/>
                <w:bCs/>
                <w:color w:val="000000"/>
                <w:sz w:val="18"/>
                <w:szCs w:val="18"/>
              </w:rPr>
              <w:t xml:space="preserve">Document ID</w:t>
            </w:r>
          </w:p>
        </w:tc>
        <w:tc>
          <w:tcPr>
            <w:tcW w:type="dxa" w:w="67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IR-PB-TPL-01</w:t>
            </w:r>
          </w:p>
        </w:tc>
      </w:tr>
      <w:tr>
        <w:tc>
          <w:tcPr>
            <w:tcW w:type="dxa" w:w="2600"/>
            <w:shd w:fill="EDF1F5" w:val="clear"/>
            <w:tcMar>
              <w:top w:type="dxa" w:w="70"/>
              <w:left w:type="dxa" w:w="90"/>
              <w:bottom w:type="dxa" w:w="70"/>
              <w:right w:type="dxa" w:w="90"/>
            </w:tcMar>
            <w:vAlign w:val="center"/>
          </w:tcPr>
          <w:p>
            <w:pPr>
              <w:jc w:val="left"/>
            </w:pPr>
            <w:r>
              <w:rPr>
                <w:rFonts w:ascii="Calibri" w:cs="Calibri" w:eastAsia="Calibri" w:hAnsi="Calibri"/>
                <w:b/>
                <w:bCs/>
                <w:color w:val="000000"/>
                <w:sz w:val="18"/>
                <w:szCs w:val="18"/>
              </w:rPr>
              <w:t xml:space="preserve">Version</w:t>
            </w:r>
          </w:p>
        </w:tc>
        <w:tc>
          <w:tcPr>
            <w:tcW w:type="dxa" w:w="67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4.0</w:t>
            </w:r>
          </w:p>
        </w:tc>
      </w:tr>
      <w:tr>
        <w:tc>
          <w:tcPr>
            <w:tcW w:type="dxa" w:w="2600"/>
            <w:shd w:fill="EDF1F5" w:val="clear"/>
            <w:tcMar>
              <w:top w:type="dxa" w:w="70"/>
              <w:left w:type="dxa" w:w="90"/>
              <w:bottom w:type="dxa" w:w="70"/>
              <w:right w:type="dxa" w:w="90"/>
            </w:tcMar>
            <w:vAlign w:val="center"/>
          </w:tcPr>
          <w:p>
            <w:pPr>
              <w:jc w:val="left"/>
            </w:pPr>
            <w:r>
              <w:rPr>
                <w:rFonts w:ascii="Calibri" w:cs="Calibri" w:eastAsia="Calibri" w:hAnsi="Calibri"/>
                <w:b/>
                <w:bCs/>
                <w:color w:val="000000"/>
                <w:sz w:val="18"/>
                <w:szCs w:val="18"/>
              </w:rPr>
              <w:t xml:space="preserve">Framework</w:t>
            </w:r>
          </w:p>
        </w:tc>
        <w:tc>
          <w:tcPr>
            <w:tcW w:type="dxa" w:w="67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SANS 6-Phase Incident Handling Model, mapped to NIST SP 800-61r3 (CSF 2.0)</w:t>
            </w:r>
          </w:p>
        </w:tc>
      </w:tr>
      <w:tr>
        <w:tc>
          <w:tcPr>
            <w:tcW w:type="dxa" w:w="2600"/>
            <w:shd w:fill="EDF1F5" w:val="clear"/>
            <w:tcMar>
              <w:top w:type="dxa" w:w="70"/>
              <w:left w:type="dxa" w:w="90"/>
              <w:bottom w:type="dxa" w:w="70"/>
              <w:right w:type="dxa" w:w="90"/>
            </w:tcMar>
            <w:vAlign w:val="center"/>
          </w:tcPr>
          <w:p>
            <w:pPr>
              <w:jc w:val="left"/>
            </w:pPr>
            <w:r>
              <w:rPr>
                <w:rFonts w:ascii="Calibri" w:cs="Calibri" w:eastAsia="Calibri" w:hAnsi="Calibri"/>
                <w:b/>
                <w:bCs/>
                <w:color w:val="000000"/>
                <w:sz w:val="18"/>
                <w:szCs w:val="18"/>
              </w:rPr>
              <w:t xml:space="preserve">Scenario Used</w:t>
            </w:r>
          </w:p>
        </w:tc>
        <w:tc>
          <w:tcPr>
            <w:tcW w:type="dxa" w:w="67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Phishing (template is scenario-agnostic; substitute checklist items for ransomware, DDoS, etc.)</w:t>
            </w:r>
          </w:p>
        </w:tc>
      </w:tr>
      <w:tr>
        <w:tc>
          <w:tcPr>
            <w:tcW w:type="dxa" w:w="2600"/>
            <w:shd w:fill="EDF1F5" w:val="clear"/>
            <w:tcMar>
              <w:top w:type="dxa" w:w="70"/>
              <w:left w:type="dxa" w:w="90"/>
              <w:bottom w:type="dxa" w:w="70"/>
              <w:right w:type="dxa" w:w="90"/>
            </w:tcMar>
            <w:vAlign w:val="center"/>
          </w:tcPr>
          <w:p>
            <w:pPr>
              <w:jc w:val="left"/>
            </w:pPr>
            <w:r>
              <w:rPr>
                <w:rFonts w:ascii="Calibri" w:cs="Calibri" w:eastAsia="Calibri" w:hAnsi="Calibri"/>
                <w:b/>
                <w:bCs/>
                <w:color w:val="000000"/>
                <w:sz w:val="18"/>
                <w:szCs w:val="18"/>
              </w:rPr>
              <w:t xml:space="preserve">Linked Documents</w:t>
            </w:r>
          </w:p>
        </w:tc>
        <w:tc>
          <w:tcPr>
            <w:tcW w:type="dxa" w:w="67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IR Policy and Roles Chart (IR-POL-RC-01); DFIR Communication Playbook</w:t>
            </w:r>
          </w:p>
        </w:tc>
      </w:tr>
    </w:tbl>
    <w:p>
      <w:r>
        <w:br w:type="page"/>
      </w:r>
    </w:p>
    <w:p>
      <w:pPr>
        <w:pStyle w:val="Heading1"/>
        <w:pBdr>
          <w:bottom w:val="single" w:color="1F2A44" w:sz="6" w:space="4"/>
        </w:pBdr>
        <w:spacing w:after="160" w:before="360"/>
      </w:pPr>
      <w:r>
        <w:rPr>
          <w:rFonts w:ascii="Calibri" w:cs="Calibri" w:eastAsia="Calibri" w:hAnsi="Calibri"/>
          <w:b/>
          <w:bCs/>
          <w:color w:val="1F2A44"/>
          <w:sz w:val="30"/>
          <w:szCs w:val="30"/>
        </w:rPr>
        <w:t xml:space="preserve">How to Use This Template</w:t>
      </w:r>
    </w:p>
    <w:p>
      <w:pPr>
        <w:spacing w:after="150" w:line="276"/>
        <w:jc w:val="both"/>
      </w:pPr>
      <w:r>
        <w:rPr>
          <w:rFonts w:ascii="Calibri" w:cs="Calibri" w:eastAsia="Calibri" w:hAnsi="Calibri"/>
          <w:sz w:val="21"/>
          <w:szCs w:val="21"/>
        </w:rPr>
        <w:t xml:space="preserve">This template converts the organization's Incident Response Policy into actionable, checkable steps. It is built on the SANS six-phase model (Preparation, Identification, Containment, Eradication, Recovery, Lessons Learned) and cross-referenced to the NIST SP 800-61r3 CSF 2.0 Functions so that maturity can be tracked against both frameworks simultaneously.</w:t>
      </w:r>
    </w:p>
    <w:p>
      <w:pPr>
        <w:spacing w:after="150" w:line="276"/>
        <w:jc w:val="both"/>
      </w:pPr>
      <w:r>
        <w:rPr>
          <w:rFonts w:ascii="Calibri" w:cs="Calibri" w:eastAsia="Calibri" w:hAnsi="Calibri"/>
          <w:sz w:val="21"/>
          <w:szCs w:val="21"/>
        </w:rPr>
        <w:t xml:space="preserve">Each phase below has a checklist, an owner drawn from the RACI matrix in the IR Policy and Roles Chart, and the primary CSF Function it maps to. Analysts should record the Incident ID, their name, and the date/time at the top of each section when the playbook is executed against a live incident, and retain the completed copy as part of the case file.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416"/>
        <w:gridCol w:w="2417"/>
        <w:gridCol w:w="2417"/>
      </w:tblGrid>
      <w:tr>
        <w:tc>
          <w:tcPr>
            <w:tcW w:type="dxa" w:w="2100"/>
            <w:shd w:fill="EDF1F5"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Incident ID: ____________</w:t>
            </w:r>
          </w:p>
        </w:tc>
        <w:tc>
          <w:tcPr>
            <w:tcW w:type="dxa" w:w="2416"/>
            <w:shd w:fill="EDF1F5"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Analyst: ____________</w:t>
            </w:r>
          </w:p>
        </w:tc>
        <w:tc>
          <w:tcPr>
            <w:tcW w:type="dxa" w:w="2417"/>
            <w:shd w:fill="EDF1F5"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Date: ____________</w:t>
            </w:r>
          </w:p>
        </w:tc>
        <w:tc>
          <w:tcPr>
            <w:tcW w:type="dxa" w:w="2417"/>
            <w:shd w:fill="EDF1F5"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Severity: ____________</w:t>
            </w:r>
          </w:p>
        </w:tc>
      </w:tr>
    </w:tbl>
    <w:p>
      <w:pPr>
        <w:spacing w:after="200"/>
      </w:pPr>
    </w:p>
    <w:p>
      <w:pPr>
        <w:pStyle w:val="Heading1"/>
        <w:pBdr>
          <w:bottom w:val="single" w:color="1F2A44" w:sz="6" w:space="4"/>
        </w:pBdr>
        <w:spacing w:after="160" w:before="360"/>
      </w:pPr>
      <w:r>
        <w:rPr>
          <w:rFonts w:ascii="Calibri" w:cs="Calibri" w:eastAsia="Calibri" w:hAnsi="Calibri"/>
          <w:b/>
          <w:bCs/>
          <w:color w:val="1F2A44"/>
          <w:sz w:val="30"/>
          <w:szCs w:val="30"/>
        </w:rPr>
        <w:t xml:space="preserve">Phase 1 — Preparation</w:t>
      </w:r>
    </w:p>
    <w:p>
      <w:pPr>
        <w:spacing w:after="150"/>
      </w:pPr>
      <w:r>
        <w:rPr>
          <w:rFonts w:ascii="Calibri" w:cs="Calibri" w:eastAsia="Calibri" w:hAnsi="Calibri"/>
          <w:i/>
          <w:iCs/>
          <w:color w:val="595959"/>
          <w:sz w:val="20"/>
          <w:szCs w:val="20"/>
        </w:rPr>
        <w:t xml:space="preserve">Pre-incident setup based on organizational policy. Primary CSF Functions: Govern, Identify, Protect.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2100"/>
        <w:gridCol w:w="1550"/>
        <w:gridCol w:w="1000"/>
      </w:tblGrid>
      <w:tr>
        <w:tc>
          <w:tcPr>
            <w:tcW w:type="dxa" w:w="4700"/>
            <w:shd w:fill="1F2A4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Checklist Item</w:t>
            </w:r>
          </w:p>
        </w:tc>
        <w:tc>
          <w:tcPr>
            <w:tcW w:type="dxa" w:w="2100"/>
            <w:shd w:fill="1F2A4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Owner (RACI)</w:t>
            </w:r>
          </w:p>
        </w:tc>
        <w:tc>
          <w:tcPr>
            <w:tcW w:type="dxa" w:w="1550"/>
            <w:shd w:fill="1F2A4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CSF Ref.</w:t>
            </w:r>
          </w:p>
        </w:tc>
        <w:tc>
          <w:tcPr>
            <w:tcW w:type="dxa" w:w="1000"/>
            <w:shd w:fill="1F2A44" w:val="clear"/>
            <w:tcMar>
              <w:top w:type="dxa" w:w="70"/>
              <w:left w:type="dxa" w:w="90"/>
              <w:bottom w:type="dxa" w:w="70"/>
              <w:right w:type="dxa" w:w="90"/>
            </w:tcMar>
            <w:vAlign w:val="center"/>
          </w:tcPr>
          <w:p>
            <w:pPr>
              <w:jc w:val="center"/>
            </w:pPr>
            <w:r>
              <w:rPr>
                <w:rFonts w:ascii="Calibri" w:cs="Calibri" w:eastAsia="Calibri" w:hAnsi="Calibri"/>
                <w:b/>
                <w:bCs/>
                <w:color w:val="FFFFFF"/>
                <w:sz w:val="18"/>
                <w:szCs w:val="18"/>
              </w:rPr>
              <w:t xml:space="preserve">Done</w:t>
            </w:r>
          </w:p>
        </w:tc>
      </w:tr>
      <w:tr>
        <w:tc>
          <w:tcPr>
            <w:tcW w:type="dxa" w:w="47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Ensure IR team roles are defined (L1, L2, L3) and contact lists are current.</w:t>
            </w:r>
          </w:p>
        </w:tc>
        <w:tc>
          <w:tcPr>
            <w:tcW w:type="dxa" w:w="21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SOC Manager</w:t>
            </w:r>
          </w:p>
        </w:tc>
        <w:tc>
          <w:tcPr>
            <w:tcW w:type="dxa" w:w="155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GV.RR</w:t>
            </w:r>
          </w:p>
        </w:tc>
        <w:tc>
          <w:tcPr>
            <w:tcW w:type="dxa" w:w="1000"/>
            <w:shd w:fill="FFFFFF" w:val="clear"/>
            <w:tcMar>
              <w:top w:type="dxa" w:w="70"/>
              <w:left w:type="dxa" w:w="90"/>
              <w:bottom w:type="dxa" w:w="70"/>
              <w:right w:type="dxa" w:w="90"/>
            </w:tcMar>
            <w:vAlign w:val="center"/>
          </w:tcPr>
          <w:p>
            <w:pPr>
              <w:jc w:val="center"/>
            </w:pPr>
            <w:r>
              <w:rPr>
                <w:rFonts w:ascii="Calibri" w:cs="Calibri" w:eastAsia="Calibri" w:hAnsi="Calibri"/>
                <w:b w:val="false"/>
                <w:bCs w:val="false"/>
                <w:color w:val="000000"/>
                <w:sz w:val="18"/>
                <w:szCs w:val="18"/>
              </w:rPr>
              <w:t xml:space="preserve">☐</w:t>
            </w:r>
          </w:p>
        </w:tc>
      </w:tr>
      <w:tr>
        <w:tc>
          <w:tcPr>
            <w:tcW w:type="dxa" w:w="4700"/>
            <w:shd w:fill="F2F2F2"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Verify access to the mail security gateway (e.g., O365 Defender, Google Admin).</w:t>
            </w:r>
          </w:p>
        </w:tc>
        <w:tc>
          <w:tcPr>
            <w:tcW w:type="dxa" w:w="2100"/>
            <w:shd w:fill="F2F2F2"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L1 Analyst</w:t>
            </w:r>
          </w:p>
        </w:tc>
        <w:tc>
          <w:tcPr>
            <w:tcW w:type="dxa" w:w="1550"/>
            <w:shd w:fill="F2F2F2"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PR.AA</w:t>
            </w:r>
          </w:p>
        </w:tc>
        <w:tc>
          <w:tcPr>
            <w:tcW w:type="dxa" w:w="1000"/>
            <w:shd w:fill="F2F2F2" w:val="clear"/>
            <w:tcMar>
              <w:top w:type="dxa" w:w="70"/>
              <w:left w:type="dxa" w:w="90"/>
              <w:bottom w:type="dxa" w:w="70"/>
              <w:right w:type="dxa" w:w="90"/>
            </w:tcMar>
            <w:vAlign w:val="center"/>
          </w:tcPr>
          <w:p>
            <w:pPr>
              <w:jc w:val="center"/>
            </w:pPr>
            <w:r>
              <w:rPr>
                <w:rFonts w:ascii="Calibri" w:cs="Calibri" w:eastAsia="Calibri" w:hAnsi="Calibri"/>
                <w:b w:val="false"/>
                <w:bCs w:val="false"/>
                <w:color w:val="000000"/>
                <w:sz w:val="18"/>
                <w:szCs w:val="18"/>
              </w:rPr>
              <w:t xml:space="preserve">☐</w:t>
            </w:r>
          </w:p>
        </w:tc>
      </w:tr>
      <w:tr>
        <w:tc>
          <w:tcPr>
            <w:tcW w:type="dxa" w:w="47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Confirm logging is enabled and retained (SIEM, EDR, mail logs).</w:t>
            </w:r>
          </w:p>
        </w:tc>
        <w:tc>
          <w:tcPr>
            <w:tcW w:type="dxa" w:w="21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L2 Analyst</w:t>
            </w:r>
          </w:p>
        </w:tc>
        <w:tc>
          <w:tcPr>
            <w:tcW w:type="dxa" w:w="155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PR.PS-04</w:t>
            </w:r>
          </w:p>
        </w:tc>
        <w:tc>
          <w:tcPr>
            <w:tcW w:type="dxa" w:w="1000"/>
            <w:shd w:fill="FFFFFF" w:val="clear"/>
            <w:tcMar>
              <w:top w:type="dxa" w:w="70"/>
              <w:left w:type="dxa" w:w="90"/>
              <w:bottom w:type="dxa" w:w="70"/>
              <w:right w:type="dxa" w:w="90"/>
            </w:tcMar>
            <w:vAlign w:val="center"/>
          </w:tcPr>
          <w:p>
            <w:pPr>
              <w:jc w:val="center"/>
            </w:pPr>
            <w:r>
              <w:rPr>
                <w:rFonts w:ascii="Calibri" w:cs="Calibri" w:eastAsia="Calibri" w:hAnsi="Calibri"/>
                <w:b w:val="false"/>
                <w:bCs w:val="false"/>
                <w:color w:val="000000"/>
                <w:sz w:val="18"/>
                <w:szCs w:val="18"/>
              </w:rPr>
              <w:t xml:space="preserve">☐</w:t>
            </w:r>
          </w:p>
        </w:tc>
      </w:tr>
      <w:tr>
        <w:tc>
          <w:tcPr>
            <w:tcW w:type="dxa" w:w="4700"/>
            <w:shd w:fill="F2F2F2"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Confirm escalation contact list (SOC Manager, CISO, Legal Counsel, IT Support) is current.</w:t>
            </w:r>
          </w:p>
        </w:tc>
        <w:tc>
          <w:tcPr>
            <w:tcW w:type="dxa" w:w="2100"/>
            <w:shd w:fill="F2F2F2"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SOC Manager</w:t>
            </w:r>
          </w:p>
        </w:tc>
        <w:tc>
          <w:tcPr>
            <w:tcW w:type="dxa" w:w="1550"/>
            <w:shd w:fill="F2F2F2"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GV.RR-02</w:t>
            </w:r>
          </w:p>
        </w:tc>
        <w:tc>
          <w:tcPr>
            <w:tcW w:type="dxa" w:w="1000"/>
            <w:shd w:fill="F2F2F2" w:val="clear"/>
            <w:tcMar>
              <w:top w:type="dxa" w:w="70"/>
              <w:left w:type="dxa" w:w="90"/>
              <w:bottom w:type="dxa" w:w="70"/>
              <w:right w:type="dxa" w:w="90"/>
            </w:tcMar>
            <w:vAlign w:val="center"/>
          </w:tcPr>
          <w:p>
            <w:pPr>
              <w:jc w:val="center"/>
            </w:pPr>
            <w:r>
              <w:rPr>
                <w:rFonts w:ascii="Calibri" w:cs="Calibri" w:eastAsia="Calibri" w:hAnsi="Calibri"/>
                <w:b w:val="false"/>
                <w:bCs w:val="false"/>
                <w:color w:val="000000"/>
                <w:sz w:val="18"/>
                <w:szCs w:val="18"/>
              </w:rPr>
              <w:t xml:space="preserve">☐</w:t>
            </w:r>
          </w:p>
        </w:tc>
      </w:tr>
    </w:tbl>
    <w:p>
      <w:pPr>
        <w:pStyle w:val="Heading1"/>
        <w:pBdr>
          <w:bottom w:val="single" w:color="1F2A44" w:sz="6" w:space="4"/>
        </w:pBdr>
        <w:spacing w:after="160" w:before="360"/>
      </w:pPr>
      <w:r>
        <w:rPr>
          <w:rFonts w:ascii="Calibri" w:cs="Calibri" w:eastAsia="Calibri" w:hAnsi="Calibri"/>
          <w:b/>
          <w:bCs/>
          <w:color w:val="1F2A44"/>
          <w:sz w:val="30"/>
          <w:szCs w:val="30"/>
        </w:rPr>
        <w:t xml:space="preserve">Phase 2 — Identification (Detection)</w:t>
      </w:r>
    </w:p>
    <w:p>
      <w:pPr>
        <w:spacing w:after="150"/>
      </w:pPr>
      <w:r>
        <w:rPr>
          <w:rFonts w:ascii="Calibri" w:cs="Calibri" w:eastAsia="Calibri" w:hAnsi="Calibri"/>
          <w:i/>
          <w:iCs/>
          <w:color w:val="595959"/>
          <w:sz w:val="20"/>
          <w:szCs w:val="20"/>
        </w:rPr>
        <w:t xml:space="preserve">Verifying the phishing attempt and its scope. Primary CSF Function: Detect.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2100"/>
        <w:gridCol w:w="1550"/>
        <w:gridCol w:w="1000"/>
      </w:tblGrid>
      <w:tr>
        <w:tc>
          <w:tcPr>
            <w:tcW w:type="dxa" w:w="4700"/>
            <w:shd w:fill="1F2A4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Checklist Item</w:t>
            </w:r>
          </w:p>
        </w:tc>
        <w:tc>
          <w:tcPr>
            <w:tcW w:type="dxa" w:w="2100"/>
            <w:shd w:fill="1F2A4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Owner (RACI)</w:t>
            </w:r>
          </w:p>
        </w:tc>
        <w:tc>
          <w:tcPr>
            <w:tcW w:type="dxa" w:w="1550"/>
            <w:shd w:fill="1F2A4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CSF Ref.</w:t>
            </w:r>
          </w:p>
        </w:tc>
        <w:tc>
          <w:tcPr>
            <w:tcW w:type="dxa" w:w="1000"/>
            <w:shd w:fill="1F2A44" w:val="clear"/>
            <w:tcMar>
              <w:top w:type="dxa" w:w="70"/>
              <w:left w:type="dxa" w:w="90"/>
              <w:bottom w:type="dxa" w:w="70"/>
              <w:right w:type="dxa" w:w="90"/>
            </w:tcMar>
            <w:vAlign w:val="center"/>
          </w:tcPr>
          <w:p>
            <w:pPr>
              <w:jc w:val="center"/>
            </w:pPr>
            <w:r>
              <w:rPr>
                <w:rFonts w:ascii="Calibri" w:cs="Calibri" w:eastAsia="Calibri" w:hAnsi="Calibri"/>
                <w:b/>
                <w:bCs/>
                <w:color w:val="FFFFFF"/>
                <w:sz w:val="18"/>
                <w:szCs w:val="18"/>
              </w:rPr>
              <w:t xml:space="preserve">Done</w:t>
            </w:r>
          </w:p>
        </w:tc>
      </w:tr>
      <w:tr>
        <w:tc>
          <w:tcPr>
            <w:tcW w:type="dxa" w:w="47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Verify entry point: user report, SIEM alert, or EDR detection.</w:t>
            </w:r>
          </w:p>
        </w:tc>
        <w:tc>
          <w:tcPr>
            <w:tcW w:type="dxa" w:w="21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L1 Analyst</w:t>
            </w:r>
          </w:p>
        </w:tc>
        <w:tc>
          <w:tcPr>
            <w:tcW w:type="dxa" w:w="155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DE.AE-08</w:t>
            </w:r>
          </w:p>
        </w:tc>
        <w:tc>
          <w:tcPr>
            <w:tcW w:type="dxa" w:w="1000"/>
            <w:shd w:fill="FFFFFF" w:val="clear"/>
            <w:tcMar>
              <w:top w:type="dxa" w:w="70"/>
              <w:left w:type="dxa" w:w="90"/>
              <w:bottom w:type="dxa" w:w="70"/>
              <w:right w:type="dxa" w:w="90"/>
            </w:tcMar>
            <w:vAlign w:val="center"/>
          </w:tcPr>
          <w:p>
            <w:pPr>
              <w:jc w:val="center"/>
            </w:pPr>
            <w:r>
              <w:rPr>
                <w:rFonts w:ascii="Calibri" w:cs="Calibri" w:eastAsia="Calibri" w:hAnsi="Calibri"/>
                <w:b w:val="false"/>
                <w:bCs w:val="false"/>
                <w:color w:val="000000"/>
                <w:sz w:val="18"/>
                <w:szCs w:val="18"/>
              </w:rPr>
              <w:t xml:space="preserve">☐</w:t>
            </w:r>
          </w:p>
        </w:tc>
      </w:tr>
      <w:tr>
        <w:tc>
          <w:tcPr>
            <w:tcW w:type="dxa" w:w="4700"/>
            <w:shd w:fill="F2F2F2"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Header analysis: check SPF, DKIM, DMARC, and Received-From IP.</w:t>
            </w:r>
          </w:p>
        </w:tc>
        <w:tc>
          <w:tcPr>
            <w:tcW w:type="dxa" w:w="2100"/>
            <w:shd w:fill="F2F2F2"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L1 Analyst</w:t>
            </w:r>
          </w:p>
        </w:tc>
        <w:tc>
          <w:tcPr>
            <w:tcW w:type="dxa" w:w="1550"/>
            <w:shd w:fill="F2F2F2"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DE.AE-02</w:t>
            </w:r>
          </w:p>
        </w:tc>
        <w:tc>
          <w:tcPr>
            <w:tcW w:type="dxa" w:w="1000"/>
            <w:shd w:fill="F2F2F2" w:val="clear"/>
            <w:tcMar>
              <w:top w:type="dxa" w:w="70"/>
              <w:left w:type="dxa" w:w="90"/>
              <w:bottom w:type="dxa" w:w="70"/>
              <w:right w:type="dxa" w:w="90"/>
            </w:tcMar>
            <w:vAlign w:val="center"/>
          </w:tcPr>
          <w:p>
            <w:pPr>
              <w:jc w:val="center"/>
            </w:pPr>
            <w:r>
              <w:rPr>
                <w:rFonts w:ascii="Calibri" w:cs="Calibri" w:eastAsia="Calibri" w:hAnsi="Calibri"/>
                <w:b w:val="false"/>
                <w:bCs w:val="false"/>
                <w:color w:val="000000"/>
                <w:sz w:val="18"/>
                <w:szCs w:val="18"/>
              </w:rPr>
              <w:t xml:space="preserve">☐</w:t>
            </w:r>
          </w:p>
        </w:tc>
      </w:tr>
      <w:tr>
        <w:tc>
          <w:tcPr>
            <w:tcW w:type="dxa" w:w="47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Payload analysis: use sandbox/VirusTotal to check URLs and attachments.</w:t>
            </w:r>
          </w:p>
        </w:tc>
        <w:tc>
          <w:tcPr>
            <w:tcW w:type="dxa" w:w="21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L1 Analyst</w:t>
            </w:r>
          </w:p>
        </w:tc>
        <w:tc>
          <w:tcPr>
            <w:tcW w:type="dxa" w:w="155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DE.AE-07</w:t>
            </w:r>
          </w:p>
        </w:tc>
        <w:tc>
          <w:tcPr>
            <w:tcW w:type="dxa" w:w="1000"/>
            <w:shd w:fill="FFFFFF" w:val="clear"/>
            <w:tcMar>
              <w:top w:type="dxa" w:w="70"/>
              <w:left w:type="dxa" w:w="90"/>
              <w:bottom w:type="dxa" w:w="70"/>
              <w:right w:type="dxa" w:w="90"/>
            </w:tcMar>
            <w:vAlign w:val="center"/>
          </w:tcPr>
          <w:p>
            <w:pPr>
              <w:jc w:val="center"/>
            </w:pPr>
            <w:r>
              <w:rPr>
                <w:rFonts w:ascii="Calibri" w:cs="Calibri" w:eastAsia="Calibri" w:hAnsi="Calibri"/>
                <w:b w:val="false"/>
                <w:bCs w:val="false"/>
                <w:color w:val="000000"/>
                <w:sz w:val="18"/>
                <w:szCs w:val="18"/>
              </w:rPr>
              <w:t xml:space="preserve">☐</w:t>
            </w:r>
          </w:p>
        </w:tc>
      </w:tr>
      <w:tr>
        <w:tc>
          <w:tcPr>
            <w:tcW w:type="dxa" w:w="4700"/>
            <w:shd w:fill="F2F2F2"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Identify scope: search mail logs for all recipients of the malicious email.</w:t>
            </w:r>
          </w:p>
        </w:tc>
        <w:tc>
          <w:tcPr>
            <w:tcW w:type="dxa" w:w="2100"/>
            <w:shd w:fill="F2F2F2"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L2 Analyst</w:t>
            </w:r>
          </w:p>
        </w:tc>
        <w:tc>
          <w:tcPr>
            <w:tcW w:type="dxa" w:w="1550"/>
            <w:shd w:fill="F2F2F2"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DE.AE-04</w:t>
            </w:r>
          </w:p>
        </w:tc>
        <w:tc>
          <w:tcPr>
            <w:tcW w:type="dxa" w:w="1000"/>
            <w:shd w:fill="F2F2F2" w:val="clear"/>
            <w:tcMar>
              <w:top w:type="dxa" w:w="70"/>
              <w:left w:type="dxa" w:w="90"/>
              <w:bottom w:type="dxa" w:w="70"/>
              <w:right w:type="dxa" w:w="90"/>
            </w:tcMar>
            <w:vAlign w:val="center"/>
          </w:tcPr>
          <w:p>
            <w:pPr>
              <w:jc w:val="center"/>
            </w:pPr>
            <w:r>
              <w:rPr>
                <w:rFonts w:ascii="Calibri" w:cs="Calibri" w:eastAsia="Calibri" w:hAnsi="Calibri"/>
                <w:b w:val="false"/>
                <w:bCs w:val="false"/>
                <w:color w:val="000000"/>
                <w:sz w:val="18"/>
                <w:szCs w:val="18"/>
              </w:rPr>
              <w:t xml:space="preserve">☐</w:t>
            </w:r>
          </w:p>
        </w:tc>
      </w:tr>
      <w:tr>
        <w:tc>
          <w:tcPr>
            <w:tcW w:type="dxa" w:w="47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Determine impact: check proxy/DNS logs for successful clicks or data submissions.</w:t>
            </w:r>
          </w:p>
        </w:tc>
        <w:tc>
          <w:tcPr>
            <w:tcW w:type="dxa" w:w="21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L2 Analyst</w:t>
            </w:r>
          </w:p>
        </w:tc>
        <w:tc>
          <w:tcPr>
            <w:tcW w:type="dxa" w:w="155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DE.AE-04</w:t>
            </w:r>
          </w:p>
        </w:tc>
        <w:tc>
          <w:tcPr>
            <w:tcW w:type="dxa" w:w="1000"/>
            <w:shd w:fill="FFFFFF" w:val="clear"/>
            <w:tcMar>
              <w:top w:type="dxa" w:w="70"/>
              <w:left w:type="dxa" w:w="90"/>
              <w:bottom w:type="dxa" w:w="70"/>
              <w:right w:type="dxa" w:w="90"/>
            </w:tcMar>
            <w:vAlign w:val="center"/>
          </w:tcPr>
          <w:p>
            <w:pPr>
              <w:jc w:val="center"/>
            </w:pPr>
            <w:r>
              <w:rPr>
                <w:rFonts w:ascii="Calibri" w:cs="Calibri" w:eastAsia="Calibri" w:hAnsi="Calibri"/>
                <w:b w:val="false"/>
                <w:bCs w:val="false"/>
                <w:color w:val="000000"/>
                <w:sz w:val="18"/>
                <w:szCs w:val="18"/>
              </w:rPr>
              <w:t xml:space="preserve">☐</w:t>
            </w:r>
          </w:p>
        </w:tc>
      </w:tr>
    </w:tbl>
    <w:p>
      <w:pPr>
        <w:pStyle w:val="Heading1"/>
        <w:pBdr>
          <w:bottom w:val="single" w:color="1F2A44" w:sz="6" w:space="4"/>
        </w:pBdr>
        <w:spacing w:after="160" w:before="360"/>
      </w:pPr>
      <w:r>
        <w:rPr>
          <w:rFonts w:ascii="Calibri" w:cs="Calibri" w:eastAsia="Calibri" w:hAnsi="Calibri"/>
          <w:b/>
          <w:bCs/>
          <w:color w:val="1F2A44"/>
          <w:sz w:val="30"/>
          <w:szCs w:val="30"/>
        </w:rPr>
        <w:t xml:space="preserve">Phase 3 — Containment</w:t>
      </w:r>
    </w:p>
    <w:p>
      <w:pPr>
        <w:spacing w:after="150"/>
      </w:pPr>
      <w:r>
        <w:rPr>
          <w:rFonts w:ascii="Calibri" w:cs="Calibri" w:eastAsia="Calibri" w:hAnsi="Calibri"/>
          <w:i/>
          <w:iCs/>
          <w:color w:val="595959"/>
          <w:sz w:val="20"/>
          <w:szCs w:val="20"/>
        </w:rPr>
        <w:t xml:space="preserve">Limiting the damage and preventing spread. Primary CSF Function: Respond (RS.MI-01).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2100"/>
        <w:gridCol w:w="1550"/>
        <w:gridCol w:w="1000"/>
      </w:tblGrid>
      <w:tr>
        <w:tc>
          <w:tcPr>
            <w:tcW w:type="dxa" w:w="4700"/>
            <w:shd w:fill="1F2A4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Checklist Item</w:t>
            </w:r>
          </w:p>
        </w:tc>
        <w:tc>
          <w:tcPr>
            <w:tcW w:type="dxa" w:w="2100"/>
            <w:shd w:fill="1F2A4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Owner (RACI)</w:t>
            </w:r>
          </w:p>
        </w:tc>
        <w:tc>
          <w:tcPr>
            <w:tcW w:type="dxa" w:w="1550"/>
            <w:shd w:fill="1F2A4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CSF Ref.</w:t>
            </w:r>
          </w:p>
        </w:tc>
        <w:tc>
          <w:tcPr>
            <w:tcW w:type="dxa" w:w="1000"/>
            <w:shd w:fill="1F2A44" w:val="clear"/>
            <w:tcMar>
              <w:top w:type="dxa" w:w="70"/>
              <w:left w:type="dxa" w:w="90"/>
              <w:bottom w:type="dxa" w:w="70"/>
              <w:right w:type="dxa" w:w="90"/>
            </w:tcMar>
            <w:vAlign w:val="center"/>
          </w:tcPr>
          <w:p>
            <w:pPr>
              <w:jc w:val="center"/>
            </w:pPr>
            <w:r>
              <w:rPr>
                <w:rFonts w:ascii="Calibri" w:cs="Calibri" w:eastAsia="Calibri" w:hAnsi="Calibri"/>
                <w:b/>
                <w:bCs/>
                <w:color w:val="FFFFFF"/>
                <w:sz w:val="18"/>
                <w:szCs w:val="18"/>
              </w:rPr>
              <w:t xml:space="preserve">Done</w:t>
            </w:r>
          </w:p>
        </w:tc>
      </w:tr>
      <w:tr>
        <w:tc>
          <w:tcPr>
            <w:tcW w:type="dxa" w:w="47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Email purge: remove the phishing email from all mailboxes (search and purge).</w:t>
            </w:r>
          </w:p>
        </w:tc>
        <w:tc>
          <w:tcPr>
            <w:tcW w:type="dxa" w:w="21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L2 Analyst</w:t>
            </w:r>
          </w:p>
        </w:tc>
        <w:tc>
          <w:tcPr>
            <w:tcW w:type="dxa" w:w="155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RS.MI-01</w:t>
            </w:r>
          </w:p>
        </w:tc>
        <w:tc>
          <w:tcPr>
            <w:tcW w:type="dxa" w:w="1000"/>
            <w:shd w:fill="FFFFFF" w:val="clear"/>
            <w:tcMar>
              <w:top w:type="dxa" w:w="70"/>
              <w:left w:type="dxa" w:w="90"/>
              <w:bottom w:type="dxa" w:w="70"/>
              <w:right w:type="dxa" w:w="90"/>
            </w:tcMar>
            <w:vAlign w:val="center"/>
          </w:tcPr>
          <w:p>
            <w:pPr>
              <w:jc w:val="center"/>
            </w:pPr>
            <w:r>
              <w:rPr>
                <w:rFonts w:ascii="Calibri" w:cs="Calibri" w:eastAsia="Calibri" w:hAnsi="Calibri"/>
                <w:b w:val="false"/>
                <w:bCs w:val="false"/>
                <w:color w:val="000000"/>
                <w:sz w:val="18"/>
                <w:szCs w:val="18"/>
              </w:rPr>
              <w:t xml:space="preserve">☐</w:t>
            </w:r>
          </w:p>
        </w:tc>
      </w:tr>
      <w:tr>
        <w:tc>
          <w:tcPr>
            <w:tcW w:type="dxa" w:w="4700"/>
            <w:shd w:fill="F2F2F2"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Block IOCs: add malicious domains/IPs to firewall and web-proxy blocklists.</w:t>
            </w:r>
          </w:p>
        </w:tc>
        <w:tc>
          <w:tcPr>
            <w:tcW w:type="dxa" w:w="2100"/>
            <w:shd w:fill="F2F2F2"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L2 Analyst</w:t>
            </w:r>
          </w:p>
        </w:tc>
        <w:tc>
          <w:tcPr>
            <w:tcW w:type="dxa" w:w="1550"/>
            <w:shd w:fill="F2F2F2"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RS.MI-01</w:t>
            </w:r>
          </w:p>
        </w:tc>
        <w:tc>
          <w:tcPr>
            <w:tcW w:type="dxa" w:w="1000"/>
            <w:shd w:fill="F2F2F2" w:val="clear"/>
            <w:tcMar>
              <w:top w:type="dxa" w:w="70"/>
              <w:left w:type="dxa" w:w="90"/>
              <w:bottom w:type="dxa" w:w="70"/>
              <w:right w:type="dxa" w:w="90"/>
            </w:tcMar>
            <w:vAlign w:val="center"/>
          </w:tcPr>
          <w:p>
            <w:pPr>
              <w:jc w:val="center"/>
            </w:pPr>
            <w:r>
              <w:rPr>
                <w:rFonts w:ascii="Calibri" w:cs="Calibri" w:eastAsia="Calibri" w:hAnsi="Calibri"/>
                <w:b w:val="false"/>
                <w:bCs w:val="false"/>
                <w:color w:val="000000"/>
                <w:sz w:val="18"/>
                <w:szCs w:val="18"/>
              </w:rPr>
              <w:t xml:space="preserve">☐</w:t>
            </w:r>
          </w:p>
        </w:tc>
      </w:tr>
      <w:tr>
        <w:tc>
          <w:tcPr>
            <w:tcW w:type="dxa" w:w="47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Account isolation: disable compromised accounts and revoke active sessions/tokens.</w:t>
            </w:r>
          </w:p>
        </w:tc>
        <w:tc>
          <w:tcPr>
            <w:tcW w:type="dxa" w:w="21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L2 Analyst</w:t>
            </w:r>
          </w:p>
        </w:tc>
        <w:tc>
          <w:tcPr>
            <w:tcW w:type="dxa" w:w="155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RS.MI-01</w:t>
            </w:r>
          </w:p>
        </w:tc>
        <w:tc>
          <w:tcPr>
            <w:tcW w:type="dxa" w:w="1000"/>
            <w:shd w:fill="FFFFFF" w:val="clear"/>
            <w:tcMar>
              <w:top w:type="dxa" w:w="70"/>
              <w:left w:type="dxa" w:w="90"/>
              <w:bottom w:type="dxa" w:w="70"/>
              <w:right w:type="dxa" w:w="90"/>
            </w:tcMar>
            <w:vAlign w:val="center"/>
          </w:tcPr>
          <w:p>
            <w:pPr>
              <w:jc w:val="center"/>
            </w:pPr>
            <w:r>
              <w:rPr>
                <w:rFonts w:ascii="Calibri" w:cs="Calibri" w:eastAsia="Calibri" w:hAnsi="Calibri"/>
                <w:b w:val="false"/>
                <w:bCs w:val="false"/>
                <w:color w:val="000000"/>
                <w:sz w:val="18"/>
                <w:szCs w:val="18"/>
              </w:rPr>
              <w:t xml:space="preserve">☐</w:t>
            </w:r>
          </w:p>
        </w:tc>
      </w:tr>
      <w:tr>
        <w:tc>
          <w:tcPr>
            <w:tcW w:type="dxa" w:w="4700"/>
            <w:shd w:fill="F2F2F2"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Host isolation: isolate infected machines from the network via EDR.</w:t>
            </w:r>
          </w:p>
        </w:tc>
        <w:tc>
          <w:tcPr>
            <w:tcW w:type="dxa" w:w="2100"/>
            <w:shd w:fill="F2F2F2"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L2 Analyst / IT Support</w:t>
            </w:r>
          </w:p>
        </w:tc>
        <w:tc>
          <w:tcPr>
            <w:tcW w:type="dxa" w:w="1550"/>
            <w:shd w:fill="F2F2F2"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RS.MI-01</w:t>
            </w:r>
          </w:p>
        </w:tc>
        <w:tc>
          <w:tcPr>
            <w:tcW w:type="dxa" w:w="1000"/>
            <w:shd w:fill="F2F2F2" w:val="clear"/>
            <w:tcMar>
              <w:top w:type="dxa" w:w="70"/>
              <w:left w:type="dxa" w:w="90"/>
              <w:bottom w:type="dxa" w:w="70"/>
              <w:right w:type="dxa" w:w="90"/>
            </w:tcMar>
            <w:vAlign w:val="center"/>
          </w:tcPr>
          <w:p>
            <w:pPr>
              <w:jc w:val="center"/>
            </w:pPr>
            <w:r>
              <w:rPr>
                <w:rFonts w:ascii="Calibri" w:cs="Calibri" w:eastAsia="Calibri" w:hAnsi="Calibri"/>
                <w:b w:val="false"/>
                <w:bCs w:val="false"/>
                <w:color w:val="000000"/>
                <w:sz w:val="18"/>
                <w:szCs w:val="18"/>
              </w:rPr>
              <w:t xml:space="preserve">☐</w:t>
            </w:r>
          </w:p>
        </w:tc>
      </w:tr>
    </w:tbl>
    <w:p>
      <w:pPr>
        <w:pStyle w:val="Heading1"/>
        <w:pBdr>
          <w:bottom w:val="single" w:color="1F2A44" w:sz="6" w:space="4"/>
        </w:pBdr>
        <w:spacing w:after="160" w:before="360"/>
      </w:pPr>
      <w:r>
        <w:rPr>
          <w:rFonts w:ascii="Calibri" w:cs="Calibri" w:eastAsia="Calibri" w:hAnsi="Calibri"/>
          <w:b/>
          <w:bCs/>
          <w:color w:val="1F2A44"/>
          <w:sz w:val="30"/>
          <w:szCs w:val="30"/>
        </w:rPr>
        <w:t xml:space="preserve">Phase 4 — Eradication</w:t>
      </w:r>
    </w:p>
    <w:p>
      <w:pPr>
        <w:spacing w:after="150"/>
      </w:pPr>
      <w:r>
        <w:rPr>
          <w:rFonts w:ascii="Calibri" w:cs="Calibri" w:eastAsia="Calibri" w:hAnsi="Calibri"/>
          <w:i/>
          <w:iCs/>
          <w:color w:val="595959"/>
          <w:sz w:val="20"/>
          <w:szCs w:val="20"/>
        </w:rPr>
        <w:t xml:space="preserve">Removing the threat from the environment. Primary CSF Function: Respond (RS.MI-02).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2100"/>
        <w:gridCol w:w="1550"/>
        <w:gridCol w:w="1000"/>
      </w:tblGrid>
      <w:tr>
        <w:tc>
          <w:tcPr>
            <w:tcW w:type="dxa" w:w="4700"/>
            <w:shd w:fill="1F2A4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Checklist Item</w:t>
            </w:r>
          </w:p>
        </w:tc>
        <w:tc>
          <w:tcPr>
            <w:tcW w:type="dxa" w:w="2100"/>
            <w:shd w:fill="1F2A4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Owner (RACI)</w:t>
            </w:r>
          </w:p>
        </w:tc>
        <w:tc>
          <w:tcPr>
            <w:tcW w:type="dxa" w:w="1550"/>
            <w:shd w:fill="1F2A4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CSF Ref.</w:t>
            </w:r>
          </w:p>
        </w:tc>
        <w:tc>
          <w:tcPr>
            <w:tcW w:type="dxa" w:w="1000"/>
            <w:shd w:fill="1F2A44" w:val="clear"/>
            <w:tcMar>
              <w:top w:type="dxa" w:w="70"/>
              <w:left w:type="dxa" w:w="90"/>
              <w:bottom w:type="dxa" w:w="70"/>
              <w:right w:type="dxa" w:w="90"/>
            </w:tcMar>
            <w:vAlign w:val="center"/>
          </w:tcPr>
          <w:p>
            <w:pPr>
              <w:jc w:val="center"/>
            </w:pPr>
            <w:r>
              <w:rPr>
                <w:rFonts w:ascii="Calibri" w:cs="Calibri" w:eastAsia="Calibri" w:hAnsi="Calibri"/>
                <w:b/>
                <w:bCs/>
                <w:color w:val="FFFFFF"/>
                <w:sz w:val="18"/>
                <w:szCs w:val="18"/>
              </w:rPr>
              <w:t xml:space="preserve">Done</w:t>
            </w:r>
          </w:p>
        </w:tc>
      </w:tr>
      <w:tr>
        <w:tc>
          <w:tcPr>
            <w:tcW w:type="dxa" w:w="47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Malware removal: clean infected files/registry keys manually or via EDR.</w:t>
            </w:r>
          </w:p>
        </w:tc>
        <w:tc>
          <w:tcPr>
            <w:tcW w:type="dxa" w:w="21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L3 Analyst</w:t>
            </w:r>
          </w:p>
        </w:tc>
        <w:tc>
          <w:tcPr>
            <w:tcW w:type="dxa" w:w="155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RS.MI-02</w:t>
            </w:r>
          </w:p>
        </w:tc>
        <w:tc>
          <w:tcPr>
            <w:tcW w:type="dxa" w:w="1000"/>
            <w:shd w:fill="FFFFFF" w:val="clear"/>
            <w:tcMar>
              <w:top w:type="dxa" w:w="70"/>
              <w:left w:type="dxa" w:w="90"/>
              <w:bottom w:type="dxa" w:w="70"/>
              <w:right w:type="dxa" w:w="90"/>
            </w:tcMar>
            <w:vAlign w:val="center"/>
          </w:tcPr>
          <w:p>
            <w:pPr>
              <w:jc w:val="center"/>
            </w:pPr>
            <w:r>
              <w:rPr>
                <w:rFonts w:ascii="Calibri" w:cs="Calibri" w:eastAsia="Calibri" w:hAnsi="Calibri"/>
                <w:b w:val="false"/>
                <w:bCs w:val="false"/>
                <w:color w:val="000000"/>
                <w:sz w:val="18"/>
                <w:szCs w:val="18"/>
              </w:rPr>
              <w:t xml:space="preserve">☐</w:t>
            </w:r>
          </w:p>
        </w:tc>
      </w:tr>
      <w:tr>
        <w:tc>
          <w:tcPr>
            <w:tcW w:type="dxa" w:w="4700"/>
            <w:shd w:fill="F2F2F2"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Credential reset: force password changes for all affected users.</w:t>
            </w:r>
          </w:p>
        </w:tc>
        <w:tc>
          <w:tcPr>
            <w:tcW w:type="dxa" w:w="2100"/>
            <w:shd w:fill="F2F2F2"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IT Support</w:t>
            </w:r>
          </w:p>
        </w:tc>
        <w:tc>
          <w:tcPr>
            <w:tcW w:type="dxa" w:w="1550"/>
            <w:shd w:fill="F2F2F2"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RS.MI-02</w:t>
            </w:r>
          </w:p>
        </w:tc>
        <w:tc>
          <w:tcPr>
            <w:tcW w:type="dxa" w:w="1000"/>
            <w:shd w:fill="F2F2F2" w:val="clear"/>
            <w:tcMar>
              <w:top w:type="dxa" w:w="70"/>
              <w:left w:type="dxa" w:w="90"/>
              <w:bottom w:type="dxa" w:w="70"/>
              <w:right w:type="dxa" w:w="90"/>
            </w:tcMar>
            <w:vAlign w:val="center"/>
          </w:tcPr>
          <w:p>
            <w:pPr>
              <w:jc w:val="center"/>
            </w:pPr>
            <w:r>
              <w:rPr>
                <w:rFonts w:ascii="Calibri" w:cs="Calibri" w:eastAsia="Calibri" w:hAnsi="Calibri"/>
                <w:b w:val="false"/>
                <w:bCs w:val="false"/>
                <w:color w:val="000000"/>
                <w:sz w:val="18"/>
                <w:szCs w:val="18"/>
              </w:rPr>
              <w:t xml:space="preserve">☐</w:t>
            </w:r>
          </w:p>
        </w:tc>
      </w:tr>
      <w:tr>
        <w:tc>
          <w:tcPr>
            <w:tcW w:type="dxa" w:w="47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MFA verification: confirm no unauthorized MFA devices were registered by the attacker.</w:t>
            </w:r>
          </w:p>
        </w:tc>
        <w:tc>
          <w:tcPr>
            <w:tcW w:type="dxa" w:w="21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L3 Analyst</w:t>
            </w:r>
          </w:p>
        </w:tc>
        <w:tc>
          <w:tcPr>
            <w:tcW w:type="dxa" w:w="155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RS.MI-02</w:t>
            </w:r>
          </w:p>
        </w:tc>
        <w:tc>
          <w:tcPr>
            <w:tcW w:type="dxa" w:w="1000"/>
            <w:shd w:fill="FFFFFF" w:val="clear"/>
            <w:tcMar>
              <w:top w:type="dxa" w:w="70"/>
              <w:left w:type="dxa" w:w="90"/>
              <w:bottom w:type="dxa" w:w="70"/>
              <w:right w:type="dxa" w:w="90"/>
            </w:tcMar>
            <w:vAlign w:val="center"/>
          </w:tcPr>
          <w:p>
            <w:pPr>
              <w:jc w:val="center"/>
            </w:pPr>
            <w:r>
              <w:rPr>
                <w:rFonts w:ascii="Calibri" w:cs="Calibri" w:eastAsia="Calibri" w:hAnsi="Calibri"/>
                <w:b w:val="false"/>
                <w:bCs w:val="false"/>
                <w:color w:val="000000"/>
                <w:sz w:val="18"/>
                <w:szCs w:val="18"/>
              </w:rPr>
              <w:t xml:space="preserve">☐</w:t>
            </w:r>
          </w:p>
        </w:tc>
      </w:tr>
    </w:tbl>
    <w:p>
      <w:pPr>
        <w:pStyle w:val="Heading1"/>
        <w:pBdr>
          <w:bottom w:val="single" w:color="1F2A44" w:sz="6" w:space="4"/>
        </w:pBdr>
        <w:spacing w:after="160" w:before="360"/>
      </w:pPr>
      <w:r>
        <w:rPr>
          <w:rFonts w:ascii="Calibri" w:cs="Calibri" w:eastAsia="Calibri" w:hAnsi="Calibri"/>
          <w:b/>
          <w:bCs/>
          <w:color w:val="1F2A44"/>
          <w:sz w:val="30"/>
          <w:szCs w:val="30"/>
        </w:rPr>
        <w:t xml:space="preserve">Phase 5 — Recovery</w:t>
      </w:r>
    </w:p>
    <w:p>
      <w:pPr>
        <w:spacing w:after="150"/>
      </w:pPr>
      <w:r>
        <w:rPr>
          <w:rFonts w:ascii="Calibri" w:cs="Calibri" w:eastAsia="Calibri" w:hAnsi="Calibri"/>
          <w:i/>
          <w:iCs/>
          <w:color w:val="595959"/>
          <w:sz w:val="20"/>
          <w:szCs w:val="20"/>
        </w:rPr>
        <w:t xml:space="preserve">Restoring systems to normal operation. Primary CSF Function: Recover.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2100"/>
        <w:gridCol w:w="1550"/>
        <w:gridCol w:w="1000"/>
      </w:tblGrid>
      <w:tr>
        <w:tc>
          <w:tcPr>
            <w:tcW w:type="dxa" w:w="4700"/>
            <w:shd w:fill="1F2A4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Checklist Item</w:t>
            </w:r>
          </w:p>
        </w:tc>
        <w:tc>
          <w:tcPr>
            <w:tcW w:type="dxa" w:w="2100"/>
            <w:shd w:fill="1F2A4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Owner (RACI)</w:t>
            </w:r>
          </w:p>
        </w:tc>
        <w:tc>
          <w:tcPr>
            <w:tcW w:type="dxa" w:w="1550"/>
            <w:shd w:fill="1F2A4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CSF Ref.</w:t>
            </w:r>
          </w:p>
        </w:tc>
        <w:tc>
          <w:tcPr>
            <w:tcW w:type="dxa" w:w="1000"/>
            <w:shd w:fill="1F2A44" w:val="clear"/>
            <w:tcMar>
              <w:top w:type="dxa" w:w="70"/>
              <w:left w:type="dxa" w:w="90"/>
              <w:bottom w:type="dxa" w:w="70"/>
              <w:right w:type="dxa" w:w="90"/>
            </w:tcMar>
            <w:vAlign w:val="center"/>
          </w:tcPr>
          <w:p>
            <w:pPr>
              <w:jc w:val="center"/>
            </w:pPr>
            <w:r>
              <w:rPr>
                <w:rFonts w:ascii="Calibri" w:cs="Calibri" w:eastAsia="Calibri" w:hAnsi="Calibri"/>
                <w:b/>
                <w:bCs/>
                <w:color w:val="FFFFFF"/>
                <w:sz w:val="18"/>
                <w:szCs w:val="18"/>
              </w:rPr>
              <w:t xml:space="preserve">Done</w:t>
            </w:r>
          </w:p>
        </w:tc>
      </w:tr>
      <w:tr>
        <w:tc>
          <w:tcPr>
            <w:tcW w:type="dxa" w:w="47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System restoration: restore devices from clean, known-good backups if necessary.</w:t>
            </w:r>
          </w:p>
        </w:tc>
        <w:tc>
          <w:tcPr>
            <w:tcW w:type="dxa" w:w="21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IT Support</w:t>
            </w:r>
          </w:p>
        </w:tc>
        <w:tc>
          <w:tcPr>
            <w:tcW w:type="dxa" w:w="155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RC.RP-02</w:t>
            </w:r>
          </w:p>
        </w:tc>
        <w:tc>
          <w:tcPr>
            <w:tcW w:type="dxa" w:w="1000"/>
            <w:shd w:fill="FFFFFF" w:val="clear"/>
            <w:tcMar>
              <w:top w:type="dxa" w:w="70"/>
              <w:left w:type="dxa" w:w="90"/>
              <w:bottom w:type="dxa" w:w="70"/>
              <w:right w:type="dxa" w:w="90"/>
            </w:tcMar>
            <w:vAlign w:val="center"/>
          </w:tcPr>
          <w:p>
            <w:pPr>
              <w:jc w:val="center"/>
            </w:pPr>
            <w:r>
              <w:rPr>
                <w:rFonts w:ascii="Calibri" w:cs="Calibri" w:eastAsia="Calibri" w:hAnsi="Calibri"/>
                <w:b w:val="false"/>
                <w:bCs w:val="false"/>
                <w:color w:val="000000"/>
                <w:sz w:val="18"/>
                <w:szCs w:val="18"/>
              </w:rPr>
              <w:t xml:space="preserve">☐</w:t>
            </w:r>
          </w:p>
        </w:tc>
      </w:tr>
      <w:tr>
        <w:tc>
          <w:tcPr>
            <w:tcW w:type="dxa" w:w="4700"/>
            <w:shd w:fill="F2F2F2"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Reconnect: bring systems back online after confirming remediation.</w:t>
            </w:r>
          </w:p>
        </w:tc>
        <w:tc>
          <w:tcPr>
            <w:tcW w:type="dxa" w:w="2100"/>
            <w:shd w:fill="F2F2F2"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IT Support</w:t>
            </w:r>
          </w:p>
        </w:tc>
        <w:tc>
          <w:tcPr>
            <w:tcW w:type="dxa" w:w="1550"/>
            <w:shd w:fill="F2F2F2"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RC.RP-04</w:t>
            </w:r>
          </w:p>
        </w:tc>
        <w:tc>
          <w:tcPr>
            <w:tcW w:type="dxa" w:w="1000"/>
            <w:shd w:fill="F2F2F2" w:val="clear"/>
            <w:tcMar>
              <w:top w:type="dxa" w:w="70"/>
              <w:left w:type="dxa" w:w="90"/>
              <w:bottom w:type="dxa" w:w="70"/>
              <w:right w:type="dxa" w:w="90"/>
            </w:tcMar>
            <w:vAlign w:val="center"/>
          </w:tcPr>
          <w:p>
            <w:pPr>
              <w:jc w:val="center"/>
            </w:pPr>
            <w:r>
              <w:rPr>
                <w:rFonts w:ascii="Calibri" w:cs="Calibri" w:eastAsia="Calibri" w:hAnsi="Calibri"/>
                <w:b w:val="false"/>
                <w:bCs w:val="false"/>
                <w:color w:val="000000"/>
                <w:sz w:val="18"/>
                <w:szCs w:val="18"/>
              </w:rPr>
              <w:t xml:space="preserve">☐</w:t>
            </w:r>
          </w:p>
        </w:tc>
      </w:tr>
      <w:tr>
        <w:tc>
          <w:tcPr>
            <w:tcW w:type="dxa" w:w="47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Monitoring: watch affected accounts/hosts for 48 hours for residual activity.</w:t>
            </w:r>
          </w:p>
        </w:tc>
        <w:tc>
          <w:tcPr>
            <w:tcW w:type="dxa" w:w="21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L1 Analyst</w:t>
            </w:r>
          </w:p>
        </w:tc>
        <w:tc>
          <w:tcPr>
            <w:tcW w:type="dxa" w:w="155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RC.RP-05</w:t>
            </w:r>
          </w:p>
        </w:tc>
        <w:tc>
          <w:tcPr>
            <w:tcW w:type="dxa" w:w="1000"/>
            <w:shd w:fill="FFFFFF" w:val="clear"/>
            <w:tcMar>
              <w:top w:type="dxa" w:w="70"/>
              <w:left w:type="dxa" w:w="90"/>
              <w:bottom w:type="dxa" w:w="70"/>
              <w:right w:type="dxa" w:w="90"/>
            </w:tcMar>
            <w:vAlign w:val="center"/>
          </w:tcPr>
          <w:p>
            <w:pPr>
              <w:jc w:val="center"/>
            </w:pPr>
            <w:r>
              <w:rPr>
                <w:rFonts w:ascii="Calibri" w:cs="Calibri" w:eastAsia="Calibri" w:hAnsi="Calibri"/>
                <w:b w:val="false"/>
                <w:bCs w:val="false"/>
                <w:color w:val="000000"/>
                <w:sz w:val="18"/>
                <w:szCs w:val="18"/>
              </w:rPr>
              <w:t xml:space="preserve">☐</w:t>
            </w:r>
          </w:p>
        </w:tc>
      </w:tr>
    </w:tbl>
    <w:p>
      <w:pPr>
        <w:pStyle w:val="Heading1"/>
        <w:pBdr>
          <w:bottom w:val="single" w:color="1F2A44" w:sz="6" w:space="4"/>
        </w:pBdr>
        <w:spacing w:after="160" w:before="360"/>
      </w:pPr>
      <w:r>
        <w:rPr>
          <w:rFonts w:ascii="Calibri" w:cs="Calibri" w:eastAsia="Calibri" w:hAnsi="Calibri"/>
          <w:b/>
          <w:bCs/>
          <w:color w:val="1F2A44"/>
          <w:sz w:val="30"/>
          <w:szCs w:val="30"/>
        </w:rPr>
        <w:t xml:space="preserve">Phase 6 — Lessons Learned (Post-Incident)</w:t>
      </w:r>
    </w:p>
    <w:p>
      <w:pPr>
        <w:spacing w:after="150"/>
      </w:pPr>
      <w:r>
        <w:rPr>
          <w:rFonts w:ascii="Calibri" w:cs="Calibri" w:eastAsia="Calibri" w:hAnsi="Calibri"/>
          <w:i/>
          <w:iCs/>
          <w:color w:val="595959"/>
          <w:sz w:val="20"/>
          <w:szCs w:val="20"/>
        </w:rPr>
        <w:t xml:space="preserve">Improving future response. Primary CSF Function: Identify (Improvement, ID.IM).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2100"/>
        <w:gridCol w:w="1550"/>
        <w:gridCol w:w="1000"/>
      </w:tblGrid>
      <w:tr>
        <w:tc>
          <w:tcPr>
            <w:tcW w:type="dxa" w:w="4700"/>
            <w:shd w:fill="1F2A4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Checklist Item</w:t>
            </w:r>
          </w:p>
        </w:tc>
        <w:tc>
          <w:tcPr>
            <w:tcW w:type="dxa" w:w="2100"/>
            <w:shd w:fill="1F2A4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Owner (RACI)</w:t>
            </w:r>
          </w:p>
        </w:tc>
        <w:tc>
          <w:tcPr>
            <w:tcW w:type="dxa" w:w="1550"/>
            <w:shd w:fill="1F2A4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CSF Ref.</w:t>
            </w:r>
          </w:p>
        </w:tc>
        <w:tc>
          <w:tcPr>
            <w:tcW w:type="dxa" w:w="1000"/>
            <w:shd w:fill="1F2A44" w:val="clear"/>
            <w:tcMar>
              <w:top w:type="dxa" w:w="70"/>
              <w:left w:type="dxa" w:w="90"/>
              <w:bottom w:type="dxa" w:w="70"/>
              <w:right w:type="dxa" w:w="90"/>
            </w:tcMar>
            <w:vAlign w:val="center"/>
          </w:tcPr>
          <w:p>
            <w:pPr>
              <w:jc w:val="center"/>
            </w:pPr>
            <w:r>
              <w:rPr>
                <w:rFonts w:ascii="Calibri" w:cs="Calibri" w:eastAsia="Calibri" w:hAnsi="Calibri"/>
                <w:b/>
                <w:bCs/>
                <w:color w:val="FFFFFF"/>
                <w:sz w:val="18"/>
                <w:szCs w:val="18"/>
              </w:rPr>
              <w:t xml:space="preserve">Done</w:t>
            </w:r>
          </w:p>
        </w:tc>
      </w:tr>
      <w:tr>
        <w:tc>
          <w:tcPr>
            <w:tcW w:type="dxa" w:w="47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Final report: document incident timeline, root cause, and remediation steps.</w:t>
            </w:r>
          </w:p>
        </w:tc>
        <w:tc>
          <w:tcPr>
            <w:tcW w:type="dxa" w:w="21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L2 Analyst</w:t>
            </w:r>
          </w:p>
        </w:tc>
        <w:tc>
          <w:tcPr>
            <w:tcW w:type="dxa" w:w="155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ID.IM-03</w:t>
            </w:r>
          </w:p>
        </w:tc>
        <w:tc>
          <w:tcPr>
            <w:tcW w:type="dxa" w:w="1000"/>
            <w:shd w:fill="FFFFFF" w:val="clear"/>
            <w:tcMar>
              <w:top w:type="dxa" w:w="70"/>
              <w:left w:type="dxa" w:w="90"/>
              <w:bottom w:type="dxa" w:w="70"/>
              <w:right w:type="dxa" w:w="90"/>
            </w:tcMar>
            <w:vAlign w:val="center"/>
          </w:tcPr>
          <w:p>
            <w:pPr>
              <w:jc w:val="center"/>
            </w:pPr>
            <w:r>
              <w:rPr>
                <w:rFonts w:ascii="Calibri" w:cs="Calibri" w:eastAsia="Calibri" w:hAnsi="Calibri"/>
                <w:b w:val="false"/>
                <w:bCs w:val="false"/>
                <w:color w:val="000000"/>
                <w:sz w:val="18"/>
                <w:szCs w:val="18"/>
              </w:rPr>
              <w:t xml:space="preserve">☐</w:t>
            </w:r>
          </w:p>
        </w:tc>
      </w:tr>
      <w:tr>
        <w:tc>
          <w:tcPr>
            <w:tcW w:type="dxa" w:w="4700"/>
            <w:shd w:fill="F2F2F2"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Policy update: update IR playbooks or email security gateway rules.</w:t>
            </w:r>
          </w:p>
        </w:tc>
        <w:tc>
          <w:tcPr>
            <w:tcW w:type="dxa" w:w="2100"/>
            <w:shd w:fill="F2F2F2"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SOC Manager</w:t>
            </w:r>
          </w:p>
        </w:tc>
        <w:tc>
          <w:tcPr>
            <w:tcW w:type="dxa" w:w="1550"/>
            <w:shd w:fill="F2F2F2"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ID.IM-04</w:t>
            </w:r>
          </w:p>
        </w:tc>
        <w:tc>
          <w:tcPr>
            <w:tcW w:type="dxa" w:w="1000"/>
            <w:shd w:fill="F2F2F2" w:val="clear"/>
            <w:tcMar>
              <w:top w:type="dxa" w:w="70"/>
              <w:left w:type="dxa" w:w="90"/>
              <w:bottom w:type="dxa" w:w="70"/>
              <w:right w:type="dxa" w:w="90"/>
            </w:tcMar>
            <w:vAlign w:val="center"/>
          </w:tcPr>
          <w:p>
            <w:pPr>
              <w:jc w:val="center"/>
            </w:pPr>
            <w:r>
              <w:rPr>
                <w:rFonts w:ascii="Calibri" w:cs="Calibri" w:eastAsia="Calibri" w:hAnsi="Calibri"/>
                <w:b w:val="false"/>
                <w:bCs w:val="false"/>
                <w:color w:val="000000"/>
                <w:sz w:val="18"/>
                <w:szCs w:val="18"/>
              </w:rPr>
              <w:t xml:space="preserve">☐</w:t>
            </w:r>
          </w:p>
        </w:tc>
      </w:tr>
      <w:tr>
        <w:tc>
          <w:tcPr>
            <w:tcW w:type="dxa" w:w="47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Awareness: conduct targeted security training for affected users.</w:t>
            </w:r>
          </w:p>
        </w:tc>
        <w:tc>
          <w:tcPr>
            <w:tcW w:type="dxa" w:w="21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SOC Manager / HR</w:t>
            </w:r>
          </w:p>
        </w:tc>
        <w:tc>
          <w:tcPr>
            <w:tcW w:type="dxa" w:w="155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ID.IM-01</w:t>
            </w:r>
          </w:p>
        </w:tc>
        <w:tc>
          <w:tcPr>
            <w:tcW w:type="dxa" w:w="1000"/>
            <w:shd w:fill="FFFFFF" w:val="clear"/>
            <w:tcMar>
              <w:top w:type="dxa" w:w="70"/>
              <w:left w:type="dxa" w:w="90"/>
              <w:bottom w:type="dxa" w:w="70"/>
              <w:right w:type="dxa" w:w="90"/>
            </w:tcMar>
            <w:vAlign w:val="center"/>
          </w:tcPr>
          <w:p>
            <w:pPr>
              <w:jc w:val="center"/>
            </w:pPr>
            <w:r>
              <w:rPr>
                <w:rFonts w:ascii="Calibri" w:cs="Calibri" w:eastAsia="Calibri" w:hAnsi="Calibri"/>
                <w:b w:val="false"/>
                <w:bCs w:val="false"/>
                <w:color w:val="000000"/>
                <w:sz w:val="18"/>
                <w:szCs w:val="18"/>
              </w:rPr>
              <w:t xml:space="preserve">☐</w:t>
            </w:r>
          </w:p>
        </w:tc>
      </w:tr>
    </w:tbl>
    <w:p>
      <w:pPr>
        <w:pStyle w:val="Heading1"/>
        <w:pBdr>
          <w:bottom w:val="single" w:color="1F2A44" w:sz="6" w:space="4"/>
        </w:pBdr>
        <w:spacing w:after="160" w:before="360"/>
      </w:pPr>
      <w:r>
        <w:rPr>
          <w:rFonts w:ascii="Calibri" w:cs="Calibri" w:eastAsia="Calibri" w:hAnsi="Calibri"/>
          <w:b/>
          <w:bCs/>
          <w:color w:val="1F2A44"/>
          <w:sz w:val="30"/>
          <w:szCs w:val="30"/>
        </w:rPr>
        <w:t xml:space="preserve">Severity &amp; Escalation Triggers</w:t>
      </w:r>
    </w:p>
    <w:p>
      <w:pPr>
        <w:spacing w:after="150" w:line="276"/>
        <w:jc w:val="both"/>
      </w:pPr>
      <w:r>
        <w:rPr>
          <w:rFonts w:ascii="Calibri" w:cs="Calibri" w:eastAsia="Calibri" w:hAnsi="Calibri"/>
          <w:sz w:val="21"/>
          <w:szCs w:val="21"/>
        </w:rPr>
        <w:t xml:space="preserve">Escalate immediately to the SOC Manager and notify the CISO if any of the following apply. These thresholds are shared with the DFIR Communication Playbook so that technical severity and stakeholder communication stay aligned.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00"/>
        <w:gridCol w:w="5450"/>
      </w:tblGrid>
      <w:tr>
        <w:tc>
          <w:tcPr>
            <w:tcW w:type="dxa" w:w="3900"/>
            <w:shd w:fill="1F2A4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Trigger</w:t>
            </w:r>
          </w:p>
        </w:tc>
        <w:tc>
          <w:tcPr>
            <w:tcW w:type="dxa" w:w="5450"/>
            <w:shd w:fill="1F2A4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Action</w:t>
            </w:r>
          </w:p>
        </w:tc>
      </w:tr>
      <w:tr>
        <w:tc>
          <w:tcPr>
            <w:tcW w:type="dxa" w:w="3900"/>
            <w:shd w:fill="F2F2F2"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More than 10 employees clicked the link / opened the attachment</w:t>
            </w:r>
          </w:p>
        </w:tc>
        <w:tc>
          <w:tcPr>
            <w:tcW w:type="dxa" w:w="5450"/>
            <w:shd w:fill="F2F2F2"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Escalate to Tier 2; notify SOC Manager</w:t>
            </w:r>
          </w:p>
        </w:tc>
      </w:tr>
      <w:tr>
        <w:tc>
          <w:tcPr>
            <w:tcW w:type="dxa" w:w="39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VIP or privileged/admin account targeted</w:t>
            </w:r>
          </w:p>
        </w:tc>
        <w:tc>
          <w:tcPr>
            <w:tcW w:type="dxa" w:w="54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Escalate to Tier 2; notify SOC Manager</w:t>
            </w:r>
          </w:p>
        </w:tc>
      </w:tr>
      <w:tr>
        <w:tc>
          <w:tcPr>
            <w:tcW w:type="dxa" w:w="3900"/>
            <w:shd w:fill="F2F2F2"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Evidence of submitted credentials on a spoofed page</w:t>
            </w:r>
          </w:p>
        </w:tc>
        <w:tc>
          <w:tcPr>
            <w:tcW w:type="dxa" w:w="5450"/>
            <w:shd w:fill="F2F2F2"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Escalate to Tier 2/3; force credential reset</w:t>
            </w:r>
          </w:p>
        </w:tc>
      </w:tr>
      <w:tr>
        <w:tc>
          <w:tcPr>
            <w:tcW w:type="dxa" w:w="39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Wire transfer, invoice, or payroll redirection content</w:t>
            </w:r>
          </w:p>
        </w:tc>
        <w:tc>
          <w:tcPr>
            <w:tcW w:type="dxa" w:w="54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Escalate to SOC Manager and Legal Counsel</w:t>
            </w:r>
          </w:p>
        </w:tc>
      </w:tr>
    </w:tbl>
    <w:p>
      <w:pPr>
        <w:spacing w:before="300"/>
      </w:pPr>
    </w:p>
    <w:p>
      <w:pPr>
        <w:pStyle w:val="Heading1"/>
        <w:pBdr>
          <w:bottom w:val="single" w:color="1F2A44" w:sz="6" w:space="4"/>
        </w:pBdr>
        <w:spacing w:after="160" w:before="360"/>
      </w:pPr>
      <w:r>
        <w:rPr>
          <w:rFonts w:ascii="Calibri" w:cs="Calibri" w:eastAsia="Calibri" w:hAnsi="Calibri"/>
          <w:b/>
          <w:bCs/>
          <w:color w:val="1F2A44"/>
          <w:sz w:val="30"/>
          <w:szCs w:val="30"/>
        </w:rPr>
        <w:t xml:space="preserve">Sign-Off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7"/>
        <w:gridCol w:w="3117"/>
      </w:tblGrid>
      <w:tr>
        <w:tc>
          <w:tcPr>
            <w:tcW w:type="dxa" w:w="3116"/>
            <w:shd w:fill="EDF1F5" w:val="clear"/>
            <w:tcMar>
              <w:top w:type="dxa" w:w="70"/>
              <w:left w:type="dxa" w:w="90"/>
              <w:bottom w:type="dxa" w:w="70"/>
              <w:right w:type="dxa" w:w="90"/>
            </w:tcMar>
            <w:vAlign w:val="center"/>
          </w:tcPr>
          <w:p>
            <w:pPr>
              <w:jc w:val="left"/>
            </w:pPr>
            <w:r>
              <w:rPr>
                <w:rFonts w:ascii="Calibri" w:cs="Calibri" w:eastAsia="Calibri" w:hAnsi="Calibri"/>
                <w:b/>
                <w:bCs/>
                <w:color w:val="000000"/>
                <w:sz w:val="18"/>
                <w:szCs w:val="18"/>
              </w:rPr>
              <w:t xml:space="preserve">Analyst Signature / Date</w:t>
            </w:r>
          </w:p>
        </w:tc>
        <w:tc>
          <w:tcPr>
            <w:tcW w:type="dxa" w:w="3117"/>
            <w:shd w:fill="EDF1F5" w:val="clear"/>
            <w:tcMar>
              <w:top w:type="dxa" w:w="70"/>
              <w:left w:type="dxa" w:w="90"/>
              <w:bottom w:type="dxa" w:w="70"/>
              <w:right w:type="dxa" w:w="90"/>
            </w:tcMar>
            <w:vAlign w:val="center"/>
          </w:tcPr>
          <w:p>
            <w:pPr>
              <w:jc w:val="left"/>
            </w:pPr>
            <w:r>
              <w:rPr>
                <w:rFonts w:ascii="Calibri" w:cs="Calibri" w:eastAsia="Calibri" w:hAnsi="Calibri"/>
                <w:b/>
                <w:bCs/>
                <w:color w:val="000000"/>
                <w:sz w:val="18"/>
                <w:szCs w:val="18"/>
              </w:rPr>
              <w:t xml:space="preserve">L2 Reviewer Signature / Date</w:t>
            </w:r>
          </w:p>
        </w:tc>
        <w:tc>
          <w:tcPr>
            <w:tcW w:type="dxa" w:w="3117"/>
            <w:shd w:fill="EDF1F5" w:val="clear"/>
            <w:tcMar>
              <w:top w:type="dxa" w:w="70"/>
              <w:left w:type="dxa" w:w="90"/>
              <w:bottom w:type="dxa" w:w="70"/>
              <w:right w:type="dxa" w:w="90"/>
            </w:tcMar>
            <w:vAlign w:val="center"/>
          </w:tcPr>
          <w:p>
            <w:pPr>
              <w:jc w:val="left"/>
            </w:pPr>
            <w:r>
              <w:rPr>
                <w:rFonts w:ascii="Calibri" w:cs="Calibri" w:eastAsia="Calibri" w:hAnsi="Calibri"/>
                <w:b/>
                <w:bCs/>
                <w:color w:val="000000"/>
                <w:sz w:val="18"/>
                <w:szCs w:val="18"/>
              </w:rPr>
              <w:t xml:space="preserve">SOC Manager Sign-Off / Date</w:t>
            </w:r>
          </w:p>
        </w:tc>
      </w:tr>
      <w:tr>
        <w:tc>
          <w:tcPr>
            <w:tcW w:type="dxa" w:w="3116"/>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 </w:t>
            </w:r>
          </w:p>
        </w:tc>
        <w:tc>
          <w:tcPr>
            <w:tcW w:type="dxa" w:w="3117"/>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 </w:t>
            </w:r>
          </w:p>
        </w:tc>
        <w:tc>
          <w:tcPr>
            <w:tcW w:type="dxa" w:w="3117"/>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 </w:t>
            </w:r>
          </w:p>
        </w:tc>
      </w:tr>
    </w:tbl>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2026-07-06T22:29:27.482Z</dcterms:created>
  <dcterms:modified xsi:type="dcterms:W3CDTF">2026-07-06T22:29:27.482Z</dcterms:modified>
</cp:coreProperties>
</file>

<file path=docProps/custom.xml><?xml version="1.0" encoding="utf-8"?>
<Properties xmlns="http://schemas.openxmlformats.org/officeDocument/2006/custom-properties" xmlns:vt="http://schemas.openxmlformats.org/officeDocument/2006/docPropsVTypes"/>
</file>