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DFIR Phishing Communication Playbook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This document outlines the strategic communication plan and procedures during a Phishing incident. It is designed to ensure swift action, minimize risk exposure, and maintain organizational integrity.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e74b5"/>
        </w:rPr>
      </w:pPr>
      <w:r w:rsidDel="00000000" w:rsidR="00000000" w:rsidRPr="00000000">
        <w:rPr>
          <w:color w:val="2e74b5"/>
          <w:rtl w:val="0"/>
        </w:rPr>
        <w:t xml:space="preserve">1. SOC Internal Escalation &amp; Roles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The security team must follow this tiered structure to manage phishing incidents efficiently: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Level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Role in Phishing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Communication Path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1 (L1)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Triage and verification of reports. Extraction of IOCs.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Escalates to L2 upon confirmed malicious intent.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2 (L2)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Scope discovery and containment (Email purging, host isolation).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Briefs SOC Manager; alerts affected internal users.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3 (L3)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Deep malware analysis, threat hunting, and RCA.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Reports to CISO and collaborates with security vendors.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2. Critical Escalation Triggers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Immediate escalation to </w:t>
      </w:r>
      <w:r w:rsidDel="00000000" w:rsidR="00000000" w:rsidRPr="00000000">
        <w:rPr>
          <w:b w:val="1"/>
          <w:bCs w:val="1"/>
          <w:rtl w:val="0"/>
        </w:rPr>
        <w:t xml:space="preserve">Tier 2</w:t>
      </w:r>
      <w:r w:rsidDel="00000000" w:rsidR="00000000" w:rsidRPr="00000000">
        <w:rPr>
          <w:rtl w:val="0"/>
        </w:rPr>
        <w:t xml:space="preserve"> and notification of the </w:t>
      </w:r>
      <w:r w:rsidDel="00000000" w:rsidR="00000000" w:rsidRPr="00000000">
        <w:rPr>
          <w:b w:val="1"/>
          <w:bCs w:val="1"/>
          <w:rtl w:val="0"/>
        </w:rPr>
        <w:t xml:space="preserve">SOC Manager</w:t>
      </w:r>
      <w:r w:rsidDel="00000000" w:rsidR="00000000" w:rsidRPr="00000000">
        <w:rPr>
          <w:rtl w:val="0"/>
        </w:rPr>
        <w:t xml:space="preserve"> is mandatory if: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Click Threshold:</w:t>
      </w:r>
      <w:r w:rsidDel="00000000" w:rsidR="00000000" w:rsidRPr="00000000">
        <w:rPr>
          <w:rtl w:val="0"/>
        </w:rPr>
        <w:t xml:space="preserve"> More than 10 employees have clicked the malicious link or opened the attachment.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VIP Target:</w:t>
      </w:r>
      <w:r w:rsidDel="00000000" w:rsidR="00000000" w:rsidRPr="00000000">
        <w:rPr>
          <w:rtl w:val="0"/>
        </w:rPr>
        <w:t xml:space="preserve"> The phishing email targets C-level executives or privileged accounts (Admins).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Credential Theft:</w:t>
      </w:r>
      <w:r w:rsidDel="00000000" w:rsidR="00000000" w:rsidRPr="00000000">
        <w:rPr>
          <w:rtl w:val="0"/>
        </w:rPr>
        <w:t xml:space="preserve"> Evidence that at least one user submitted credentials on a spoofed page.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Financial Fraud:</w:t>
      </w:r>
      <w:r w:rsidDel="00000000" w:rsidR="00000000" w:rsidRPr="00000000">
        <w:rPr>
          <w:rtl w:val="0"/>
        </w:rPr>
        <w:t xml:space="preserve"> The content involves wire transfers, invoices, or payroll redirection.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e74b5"/>
        </w:rPr>
      </w:pPr>
      <w:r w:rsidDel="00000000" w:rsidR="00000000" w:rsidRPr="00000000">
        <w:rPr>
          <w:color w:val="2e74b5"/>
          <w:rtl w:val="0"/>
        </w:rPr>
        <w:t xml:space="preserve">3. Incident Escalation &amp; Leadership Communication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Confirmed phishing campaign targeting high-value targets (VIPs) compromise of administrative credentials, or evidence of financial fraud.</w:t>
      </w:r>
    </w:p>
    <w:tbl>
      <w:tblPr>
        <w:tblStyle w:val="Table2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Stakeholder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Responsibility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Tools/Channel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CISO / SOC Manager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Initial briefing on scope and impact.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Out-of-band (WhatsApp)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Executive Leadership (CEO/CFO)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High-level updates on business risk.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Secure Bridge Call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e74b5"/>
        </w:rPr>
      </w:pPr>
      <w:r w:rsidDel="00000000" w:rsidR="00000000" w:rsidRPr="00000000">
        <w:rPr>
          <w:color w:val="2e74b5"/>
          <w:rtl w:val="0"/>
        </w:rPr>
        <w:t xml:space="preserve">4. Legal &amp; Regulatory Compliance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Procedure:</w:t>
      </w:r>
      <w:r w:rsidDel="00000000" w:rsidR="00000000" w:rsidRPr="00000000">
        <w:rPr>
          <w:rtl w:val="0"/>
        </w:rPr>
        <w:t xml:space="preserve"> Engage internal and external counsel to evaluate data breach notification requirements (GDPR, local laws) if PII was accessed.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Compliance Review:</w:t>
      </w:r>
      <w:r w:rsidDel="00000000" w:rsidR="00000000" w:rsidRPr="00000000">
        <w:rPr>
          <w:rtl w:val="0"/>
        </w:rPr>
        <w:t xml:space="preserve"> Assess if the phishing attack resulted in a reportable data breach.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Liability Management:</w:t>
      </w:r>
      <w:r w:rsidDel="00000000" w:rsidR="00000000" w:rsidRPr="00000000">
        <w:rPr>
          <w:rtl w:val="0"/>
        </w:rPr>
        <w:t xml:space="preserve"> Draft communications to protect the organization from legal exposure.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Law Enforcement:</w:t>
      </w:r>
      <w:r w:rsidDel="00000000" w:rsidR="00000000" w:rsidRPr="00000000">
        <w:rPr>
          <w:rtl w:val="0"/>
        </w:rPr>
        <w:t xml:space="preserve"> Determine if the incident meets the threshold for reporting to agencies (Local, State).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e74b5"/>
        </w:rPr>
      </w:pPr>
      <w:r w:rsidDel="00000000" w:rsidR="00000000" w:rsidRPr="00000000">
        <w:rPr>
          <w:color w:val="2e74b5"/>
          <w:rtl w:val="0"/>
        </w:rPr>
        <w:t xml:space="preserve">5. User Communication (Internal)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Direct and clear communication to minimize further damage: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Incident Updates:</w:t>
      </w:r>
      <w:r w:rsidDel="00000000" w:rsidR="00000000" w:rsidRPr="00000000">
        <w:rPr>
          <w:rtl w:val="0"/>
        </w:rPr>
        <w:t xml:space="preserve"> Provide status updates and explain impact "Services down for containment"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"What should users do and not do?"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DO: Report suspicious emails.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DO NOT: Forward the phishing email.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e74b5"/>
        </w:rPr>
      </w:pPr>
      <w:r w:rsidDel="00000000" w:rsidR="00000000" w:rsidRPr="00000000">
        <w:rPr>
          <w:color w:val="2e74b5"/>
          <w:rtl w:val="0"/>
        </w:rPr>
        <w:t xml:space="preserve">6. External Stakeholders &amp; Customers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Targeted Notification:</w:t>
      </w:r>
      <w:r w:rsidDel="00000000" w:rsidR="00000000" w:rsidRPr="00000000">
        <w:rPr>
          <w:rtl w:val="0"/>
        </w:rPr>
        <w:t xml:space="preserve"> Focus particularly on those whose data was affected.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Required Notifications:</w:t>
      </w:r>
      <w:r w:rsidDel="00000000" w:rsidR="00000000" w:rsidRPr="00000000">
        <w:rPr>
          <w:rtl w:val="0"/>
        </w:rPr>
        <w:t xml:space="preserve"> Generate notifications based on applicable regulations within required timeframes.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e74b5"/>
          <w:sz w:val="34"/>
          <w:szCs w:val="34"/>
        </w:rPr>
      </w:pPr>
      <w:r w:rsidDel="00000000" w:rsidR="00000000" w:rsidRPr="00000000">
        <w:rPr>
          <w:color w:val="2e74b5"/>
          <w:sz w:val="34"/>
          <w:szCs w:val="34"/>
          <w:rtl w:val="0"/>
        </w:rPr>
        <w:t xml:space="preserve">7. Insurance &amp; Security Vendors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Insurance Provider:</w:t>
      </w:r>
      <w:r w:rsidDel="00000000" w:rsidR="00000000" w:rsidRPr="00000000">
        <w:rPr>
          <w:rtl w:val="0"/>
        </w:rPr>
        <w:t xml:space="preserve"> Discuss available resources and tools they support to protect eligibility.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Security Vendors:</w:t>
      </w:r>
      <w:r w:rsidDel="00000000" w:rsidR="00000000" w:rsidRPr="00000000">
        <w:rPr>
          <w:rtl w:val="0"/>
        </w:rPr>
        <w:t xml:space="preserve"> Notify and collaborate with managed providers and incident response consultants per procedure.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e74b5"/>
        </w:rPr>
      </w:pPr>
      <w:r w:rsidDel="00000000" w:rsidR="00000000" w:rsidRPr="00000000">
        <w:rPr>
          <w:color w:val="2e74b5"/>
          <w:rtl w:val="0"/>
        </w:rPr>
        <w:t xml:space="preserve">8. Documentation &amp; Reporting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All incidents must be documented per procedure.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 Reports should include a full log of communication steps and actions taken.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