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Incident Response Policy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Focus: Organizational Security and Compliance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policy establishes the principles, rules, and practices for detecting and responding to cybersecurity incidents within the organization, ensuring legal protection and operational continuity.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color w:val="2e74b5"/>
        </w:rPr>
      </w:pPr>
      <w:r w:rsidDel="00000000" w:rsidR="00000000" w:rsidRPr="00000000">
        <w:rPr>
          <w:color w:val="2e74b5"/>
          <w:rtl w:val="0"/>
        </w:rPr>
        <w:t xml:space="preserve">1. Purpose and Scope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policy applies to all employees, contractors, and third-party vendors utilizing organizational information assets. Its primary goal is to provide a keystone for guidance in identifying and mitigating incidents, specifically phishing and unauthorized access.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color w:val="2e74b5"/>
        </w:rPr>
      </w:pPr>
      <w:r w:rsidDel="00000000" w:rsidR="00000000" w:rsidRPr="00000000">
        <w:rPr>
          <w:color w:val="2e74b5"/>
          <w:rtl w:val="0"/>
        </w:rPr>
        <w:t xml:space="preserve">2. Monitoring and Consent (The Login Banner)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 provide legal protection against lawsuits ( improper termination), a mandatory login banner shall be displayed on all information systems. This banner serves as formal notice that all activities are monitored.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450" w:before="225" w:lineRule="auto"/>
        <w:ind w:left="225" w:right="225"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"WARNING: This system is for authorized use only. By logging in, you acknowledge that all activities on this network and connected devices are monitored and recorded. Unauthorized access or misuse of this system may result in disciplinary action, as well as civil and criminal penalties under applicable laws."</w:t>
        <w:br w:type="textWrapping"/>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color w:val="2e74b5"/>
        </w:rPr>
      </w:pPr>
      <w:r w:rsidDel="00000000" w:rsidR="00000000" w:rsidRPr="00000000">
        <w:rPr>
          <w:color w:val="2e74b5"/>
          <w:rtl w:val="0"/>
        </w:rPr>
        <w:t xml:space="preserve">3. Authority to Act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Incident Response Team (IRT) is authorized to take immediate actions to protect the organization during a confirmed incident, including: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Isolating compromised systems.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Disabling user accounts (including VIPs) involved in the incident.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Purging malicious communications from mail servers.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color w:val="2e74b5"/>
        </w:rPr>
      </w:pPr>
      <w:r w:rsidDel="00000000" w:rsidR="00000000" w:rsidRPr="00000000">
        <w:rPr>
          <w:color w:val="2e74b5"/>
          <w:rtl w:val="0"/>
        </w:rPr>
        <w:t xml:space="preserve">4. Accountability and Enforcement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Failure to adhere to security principles or engaging in unauthorized activities ( bypassing security controls) will result in disciplinary action. This policy provides the legal framework to enforce these penalties and minimize the organization's vulnerability to lawsuits.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