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240" w:lineRule="auto"/>
        <w:ind w:left="300" w:right="300" w:firstLine="0"/>
        <w:jc w:val="center"/>
        <w:rPr>
          <w:rFonts w:ascii="Arial" w:cs="Arial" w:eastAsia="Arial" w:hAnsi="Arial"/>
          <w:color w:val="1a527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1a5276"/>
          <w:rtl w:val="0"/>
        </w:rPr>
        <w:t xml:space="preserve">Phishing Incident Response Checklist</w:t>
      </w:r>
      <w:r w:rsidDel="00000000" w:rsidR="00000000" w:rsidRPr="00000000">
        <w:rPr>
          <w:rFonts w:ascii="Arial" w:cs="Arial" w:eastAsia="Arial" w:hAnsi="Arial"/>
          <w:color w:val="1a5276"/>
          <w:sz w:val="16"/>
          <w:szCs w:val="16"/>
          <w:rtl w:val="0"/>
        </w:rPr>
        <w:t xml:space="preserve"> (SANS Framework)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00" w:right="300" w:firstLine="0"/>
        <w:jc w:val="center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Incident ID: ____________ | Analyst: ____________ | Date: ____________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75" w:lineRule="auto"/>
        <w:ind w:left="375" w:right="375" w:firstLine="0"/>
        <w:rPr>
          <w:rFonts w:ascii="Arial" w:cs="Arial" w:eastAsia="Arial" w:hAnsi="Arial"/>
          <w:color w:val="1a5276"/>
          <w:shd w:fill="f2f2f2" w:val="clear"/>
        </w:rPr>
      </w:pPr>
      <w:r w:rsidDel="00000000" w:rsidR="00000000" w:rsidRPr="00000000">
        <w:rPr>
          <w:rFonts w:ascii="Arial" w:cs="Arial" w:eastAsia="Arial" w:hAnsi="Arial"/>
          <w:color w:val="1a5276"/>
          <w:shd w:fill="f2f2f2" w:val="clear"/>
          <w:rtl w:val="0"/>
        </w:rPr>
        <w:t xml:space="preserve">1. Preparation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300" w:firstLine="0"/>
        <w:rPr>
          <w:rFonts w:ascii="Arial" w:cs="Arial" w:eastAsia="Arial" w:hAnsi="Arial"/>
          <w:i w:val="1"/>
          <w:iCs w:val="1"/>
          <w:color w:val="333333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Pre-incident setup based on organization policy.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900" w:right="30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☐ Ensure IR team roles are defined (L1, L2, L3) and contact lists are updated.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900" w:right="30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☐ Verify access to mail security gateway (e.g., O365 Defender, Google Admin).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900" w:right="30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☐ Confirm logging is enabled (SIEM, EDR, Mail Logs).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75" w:right="375" w:firstLine="0"/>
        <w:rPr>
          <w:rFonts w:ascii="Arial" w:cs="Arial" w:eastAsia="Arial" w:hAnsi="Arial"/>
          <w:color w:val="1a5276"/>
          <w:shd w:fill="f2f2f2" w:val="clear"/>
        </w:rPr>
      </w:pPr>
      <w:r w:rsidDel="00000000" w:rsidR="00000000" w:rsidRPr="00000000">
        <w:rPr>
          <w:rFonts w:ascii="Arial" w:cs="Arial" w:eastAsia="Arial" w:hAnsi="Arial"/>
          <w:color w:val="1a5276"/>
          <w:shd w:fill="f2f2f2" w:val="clear"/>
          <w:rtl w:val="0"/>
        </w:rPr>
        <w:t xml:space="preserve">2. Identification (Detection)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300" w:firstLine="0"/>
        <w:rPr>
          <w:rFonts w:ascii="Arial" w:cs="Arial" w:eastAsia="Arial" w:hAnsi="Arial"/>
          <w:i w:val="1"/>
          <w:iCs w:val="1"/>
          <w:color w:val="333333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Verifying the phishing attempt and its scope.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900" w:right="30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Verify Entry: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Identify if source is user report, SIEM alert, or EDR.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900" w:right="30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Header Analysis: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Check SPF, DKIM, DMARC, and "Received-From" IP.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900" w:right="30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Payload Analysis: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Use Sandbox/VirusTotal to check URLs or attachments.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900" w:right="30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Identify Scope: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Search mail logs to find all recipients of the malicious email.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900" w:right="30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Determine Impact: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Check Proxy/DNS logs for successful clicks or data submissions.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75" w:right="375" w:firstLine="0"/>
        <w:rPr>
          <w:rFonts w:ascii="Arial" w:cs="Arial" w:eastAsia="Arial" w:hAnsi="Arial"/>
          <w:color w:val="1a5276"/>
          <w:shd w:fill="f2f2f2" w:val="clear"/>
        </w:rPr>
      </w:pPr>
      <w:r w:rsidDel="00000000" w:rsidR="00000000" w:rsidRPr="00000000">
        <w:rPr>
          <w:rFonts w:ascii="Arial" w:cs="Arial" w:eastAsia="Arial" w:hAnsi="Arial"/>
          <w:color w:val="1a5276"/>
          <w:shd w:fill="f2f2f2" w:val="clear"/>
          <w:rtl w:val="0"/>
        </w:rPr>
        <w:t xml:space="preserve">3. Containment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300" w:firstLine="0"/>
        <w:rPr>
          <w:rFonts w:ascii="Arial" w:cs="Arial" w:eastAsia="Arial" w:hAnsi="Arial"/>
          <w:i w:val="1"/>
          <w:iCs w:val="1"/>
          <w:color w:val="333333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Limiting the damage and preventing spread.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900" w:right="30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Email Purge: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Delete the phishing email from all mailboxes (Search and Purge).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900" w:right="30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Block IOCs: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Add malicious domains/IPs to Firewall and Web Proxy blocklists.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900" w:right="30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Account Isolation: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Disable compromised user accounts and revoke active sessions.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900" w:right="30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Host Isolation: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Isolate infected machines from the network via EDR.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75" w:right="375" w:firstLine="0"/>
        <w:rPr>
          <w:rFonts w:ascii="Arial" w:cs="Arial" w:eastAsia="Arial" w:hAnsi="Arial"/>
          <w:color w:val="1a5276"/>
          <w:shd w:fill="f2f2f2" w:val="clear"/>
        </w:rPr>
      </w:pPr>
      <w:r w:rsidDel="00000000" w:rsidR="00000000" w:rsidRPr="00000000">
        <w:rPr>
          <w:rFonts w:ascii="Arial" w:cs="Arial" w:eastAsia="Arial" w:hAnsi="Arial"/>
          <w:color w:val="1a5276"/>
          <w:shd w:fill="f2f2f2" w:val="clear"/>
          <w:rtl w:val="0"/>
        </w:rPr>
        <w:t xml:space="preserve">4. Eradication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300" w:firstLine="0"/>
        <w:rPr>
          <w:rFonts w:ascii="Arial" w:cs="Arial" w:eastAsia="Arial" w:hAnsi="Arial"/>
          <w:i w:val="1"/>
          <w:iCs w:val="1"/>
          <w:color w:val="333333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Removing the threat from the environment.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900" w:right="30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Malware Removal: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Clean infected files and registry keys manually or via EDR.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900" w:right="30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Credential Reset: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Force password changes for all affected users.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900" w:right="30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MFA Verification: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Ensure no unauthorized MFA devices were added by the attacker.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75" w:right="375" w:firstLine="0"/>
        <w:rPr>
          <w:rFonts w:ascii="Arial" w:cs="Arial" w:eastAsia="Arial" w:hAnsi="Arial"/>
          <w:color w:val="1a5276"/>
          <w:shd w:fill="f2f2f2" w:val="clear"/>
        </w:rPr>
      </w:pPr>
      <w:r w:rsidDel="00000000" w:rsidR="00000000" w:rsidRPr="00000000">
        <w:rPr>
          <w:rFonts w:ascii="Arial" w:cs="Arial" w:eastAsia="Arial" w:hAnsi="Arial"/>
          <w:color w:val="1a5276"/>
          <w:shd w:fill="f2f2f2" w:val="clear"/>
          <w:rtl w:val="0"/>
        </w:rPr>
        <w:t xml:space="preserve">5. Recovery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300" w:firstLine="0"/>
        <w:rPr>
          <w:rFonts w:ascii="Arial" w:cs="Arial" w:eastAsia="Arial" w:hAnsi="Arial"/>
          <w:i w:val="1"/>
          <w:iCs w:val="1"/>
          <w:color w:val="333333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Restoring systems to normal operation.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900" w:right="30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System Restoration: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Restore devices from clean, known-good backups if necessary.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900" w:right="30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Reconnect: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Bring systems back online after confirming remediation.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900" w:right="30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Monitoring: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Watch affected accounts/hosts for 48 hours for any residual activity.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75" w:right="375" w:firstLine="0"/>
        <w:rPr>
          <w:rFonts w:ascii="Arial" w:cs="Arial" w:eastAsia="Arial" w:hAnsi="Arial"/>
          <w:color w:val="1a5276"/>
          <w:shd w:fill="f2f2f2" w:val="clear"/>
        </w:rPr>
      </w:pPr>
      <w:r w:rsidDel="00000000" w:rsidR="00000000" w:rsidRPr="00000000">
        <w:rPr>
          <w:rFonts w:ascii="Arial" w:cs="Arial" w:eastAsia="Arial" w:hAnsi="Arial"/>
          <w:color w:val="1a5276"/>
          <w:shd w:fill="f2f2f2" w:val="clear"/>
          <w:rtl w:val="0"/>
        </w:rPr>
        <w:t xml:space="preserve">6. Lessons Learned (Post-Incident)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300" w:firstLine="0"/>
        <w:rPr>
          <w:rFonts w:ascii="Arial" w:cs="Arial" w:eastAsia="Arial" w:hAnsi="Arial"/>
          <w:i w:val="1"/>
          <w:iCs w:val="1"/>
          <w:color w:val="333333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Improving future response.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900" w:right="30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Final Report: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Document incident timeline, root cause, and remediation steps.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900" w:right="30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Policy Update: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Update IR playbooks or email security gateway rules.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900" w:right="30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☐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Awareness: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Conduct targeted security training for the affected users.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