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NTRO Audit Engine: Architecture Document</w:t>
      </w:r>
    </w:p>
    <w:p>
      <w:pPr>
        <w:pStyle w:val="Heading2"/>
      </w:pPr>
      <w:r>
        <w:t xml:space="preserve">1. System Overview</w:t>
      </w:r>
    </w:p>
    <w:p>
      <w:r>
        <w:t xml:space="preserve">The NTRO Audit Engine is designed to automate the process of compliance auditing for network device configurations. The key components and their responsibilities include:
• Upload Handler: Responsible for accepting raw configuration files (like Cisco IOS .cfg or Terraform .tf), handling file type detection, and securing the data ingestion process.
• Parser: Translates the raw text into a structured AST (Abstract Syntax Tree), normalizing diverse vendor formats into a standardized internal representation.
• Rules Engine: Evaluates the parsed configurations against standard CIS benchmarks, determining if specific checks pass or fail based on the underlying device settings.
• Scoring System: Aggregates the findings, generating a numerical score and breaking down the results into a Pass/Fail ratio (e.g., 5 passed, 27 failed out of 32 checks).
• Report / PDF Export: Renders the final results into an interactive web dashboard and a downloadable PDF report.</w:t>
      </w:r>
    </w:p>
    <w:p>
      <w:pPr>
        <w:pStyle w:val="Heading2"/>
      </w:pPr>
      <w:r>
        <w:t xml:space="preserve">2. Data Flow</w:t>
      </w:r>
    </w:p>
    <w:p>
      <w:r>
        <w:t xml:space="preserve">The lifecycle of a single audit operation proceeds as follows:
1. File Drop: The user uploads a device config file in the UI.
2. Validation &amp; Detection: The frontend validates the file extension and MIME type before reading the text.
3. API Transmission: The text content is sent to the backend audit endpoint.
4. Parsing: The backend parser normalizes the text into a structured JSON representation.
5. Rule Evaluation: The rules engine maps rules to the parsed nodes and evaluates compliance states.
6. Aggregation: Results are compiled into categorized findings with an overall score.
7. Rendering: The UI consumes the response and presents the findings, which can then be exported as a PDF.</w:t>
      </w:r>
    </w:p>
    <w:p>
      <w:pPr>
        <w:pStyle w:val="Heading2"/>
      </w:pPr>
      <w:r>
        <w:t xml:space="preserve">3. Key Design Decisions</w:t>
      </w:r>
    </w:p>
    <w:p>
      <w:r>
        <w:t xml:space="preserve">Resource Type Grouping:
Findings are now grouped by resource type (e.g., VTY lines, SNMP, Cryptography) rather than the older cis_control parsing approach. This decision was made because network engineers think in terms of device components (e.g., "I need to fix the SNMP config") rather than abstract control IDs. It makes the final report substantially more actionable.
Pass/Fail Breakdown vs. Score Only:
A numerical score alone (e.g., 15) does not provide sufficient context on the surface area of the audit. By presenting the explicit Pass/Fail breakdown (e.g., "32 checks · 5 passed · 27 failed") alongside the score, users immediately understand the scope of the assessment and the volume of remediation work required.
Removal of Hardcoded Terminal Output:
To ensure system credibility and strict zero-trust transparency, simulated terminal streaming containing hardcoded rule IDs (BOOT_LOGS) was completely removed. Instead, the UI utilizes a genuine SpinRing loading state, and all shown findings strictly originate from the audited file.</w:t>
      </w:r>
    </w:p>
    <w:p>
      <w:pPr>
        <w:pStyle w:val="Heading2"/>
      </w:pPr>
      <w:r>
        <w:t xml:space="preserve">4. Known Limitations &amp; Scope Boundaries</w:t>
      </w:r>
    </w:p>
    <w:p>
      <w:r>
        <w:t xml:space="preserve">• Single-File Uploads: The engine currently supports evaluating one configuration at a time; bulk upload is deferred.
• Benchmark Coverage: Support is limited to specific versions of Cisco IOS and AWS Terraform. Unrecognized syntaxes will fail parsing rather than partially evaluating.
• No Auto-Remediation: The system is designed strictly for reporting (read-only); it does not currently generate remediation scripts or automatically apply fixes to the devices.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2026-09-02T13:59:21.898Z</dcterms:created>
  <dcterms:modified xsi:type="dcterms:W3CDTF">2026-09-02T13:59:21.901Z</dcterms:modified>
</cp:coreProperties>
</file>

<file path=docProps/custom.xml><?xml version="1.0" encoding="utf-8"?>
<Properties xmlns="http://schemas.openxmlformats.org/officeDocument/2006/custom-properties" xmlns:vt="http://schemas.openxmlformats.org/officeDocument/2006/docPropsVTypes"/>
</file>