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Corrosion Calculation</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Corrosion Calculation</w:t>
            </w:r>
          </w:p>
        </w:tc>
      </w:tr>
      <w:tr>
        <w:tc>
          <w:tcPr>
            <w:tcW w:type="dxa" w:w="2592"/>
          </w:tcPr>
          <w:p>
            <w:pPr>
              <w:spacing w:before="40" w:after="40"/>
            </w:pPr>
            <w:r>
              <w:rPr>
                <w:b/>
                <w:color w:val="334155"/>
                <w:sz w:val="19"/>
              </w:rPr>
              <w:t>Task ID</w:t>
            </w:r>
          </w:p>
        </w:tc>
        <w:tc>
          <w:tcPr>
            <w:tcW w:type="dxa" w:w="6768"/>
          </w:tcPr>
          <w:p>
            <w:pPr>
              <w:spacing w:before="40" w:after="40"/>
            </w:pPr>
            <w:r>
              <w:rPr>
                <w:sz w:val="19"/>
              </w:rPr>
              <w:t>task-fc7b9c0f</w:t>
            </w:r>
          </w:p>
        </w:tc>
      </w:tr>
      <w:tr>
        <w:tc>
          <w:tcPr>
            <w:tcW w:type="dxa" w:w="2592"/>
          </w:tcPr>
          <w:p>
            <w:pPr>
              <w:spacing w:before="40" w:after="40"/>
            </w:pPr>
            <w:r>
              <w:rPr>
                <w:b/>
                <w:color w:val="334155"/>
                <w:sz w:val="19"/>
              </w:rPr>
              <w:t>Operational Goal</w:t>
            </w:r>
          </w:p>
        </w:tc>
        <w:tc>
          <w:tcPr>
            <w:tcW w:type="dxa" w:w="6768"/>
          </w:tcPr>
          <w:p>
            <w:pPr>
              <w:spacing w:before="40" w:after="40"/>
            </w:pPr>
            <w:r>
              <w:rPr>
                <w:sz w:val="19"/>
              </w:rPr>
              <w:t>calculate remaining life if corrosion rate is 0.5 mm/year and allowance is 3.0 mm</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calculate remaining life if corrosion rate is 0.5 mm/year and allowance is 3.0 mm</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Tool 'calculate' returned: {'success': True, 'expression': 'corrosion_rate * time', 'result': 0.0, 'raw_output': '0.0', 'duration_ms': 0, 'security_mode': 'DEGRADED'}</w:t>
      </w:r>
    </w:p>
    <w:p>
      <w:pPr>
        <w:pStyle w:val="ListBullet"/>
      </w:pPr>
      <w:r>
        <w:rPr>
          <w:b/>
          <w:color w:val="0E7490"/>
        </w:rPr>
        <w:t xml:space="preserve">[HIGH] </w:t>
      </w:r>
      <w:r>
        <w:t>1.5</w:t>
      </w:r>
    </w:p>
    <w:p>
      <w:pPr>
        <w:pStyle w:val="Heading1"/>
      </w:pPr>
      <w:r>
        <w:rPr>
          <w:color w:val="1E293B"/>
        </w:rPr>
        <w:t>3. Evidence &amp; Grounding Sources</w:t>
      </w:r>
    </w:p>
    <w:p>
      <w:r>
        <w:rPr>
          <w:i/>
        </w:rPr>
        <w:t>No evidence references recorded in task state.</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