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0"/>
        <w:jc w:val="center"/>
      </w:pPr>
      <w:r>
        <w:rPr>
          <w:sz w:val="80"/>
          <w:szCs w:val="80"/>
        </w:rPr>
        <w:t xml:space="preserve">🌌</w:t>
      </w:r>
    </w:p>
    <w:p>
      <w:pPr>
        <w:spacing w:after="40" w:before="0"/>
        <w:jc w:val="center"/>
      </w:pPr>
      <w:r>
        <w:rPr>
          <w:rFonts w:ascii="Calibri" w:cs="Calibri" w:eastAsia="Calibri" w:hAnsi="Calibri"/>
          <w:b/>
          <w:bCs/>
          <w:color w:val="7C3AED"/>
          <w:sz w:val="72"/>
          <w:szCs w:val="72"/>
        </w:rPr>
        <w:t xml:space="preserve">COSMIC LEAP</w:t>
      </w:r>
    </w:p>
    <w:p>
      <w:pPr>
        <w:spacing w:after="120" w:before="0"/>
        <w:jc w:val="center"/>
      </w:pPr>
      <w:r>
        <w:rPr>
          <w:rFonts w:ascii="Calibri" w:cs="Calibri" w:eastAsia="Calibri" w:hAnsi="Calibri"/>
          <w:b/>
          <w:bCs/>
          <w:color w:val="A78BFA"/>
          <w:sz w:val="36"/>
          <w:szCs w:val="36"/>
        </w:rPr>
        <w:t xml:space="preserve">STARBOUND ODYSSEY</w:t>
      </w:r>
    </w:p>
    <w:p>
      <w:pPr>
        <w:spacing w:after="60" w:before="0"/>
        <w:jc w:val="center"/>
      </w:pPr>
      <w:r>
        <w:rPr>
          <w:rFonts w:ascii="Calibri" w:cs="Calibri" w:eastAsia="Calibri" w:hAnsi="Calibri"/>
          <w:b/>
          <w:bCs/>
          <w:caps/>
          <w:color w:val="6B7280"/>
          <w:sz w:val="24"/>
          <w:szCs w:val="24"/>
        </w:rPr>
        <w:t xml:space="preserve">INTELLECTUAL PROPERTY LICENSING PACKAGE</w:t>
      </w:r>
    </w:p>
    <w:p>
      <w:pPr>
        <w:pBdr>
          <w:bottom w:val="single" w:color="7C3AED" w:sz="6"/>
        </w:pBdr>
        <w:spacing w:after="160" w:before="160"/>
      </w:pPr>
    </w:p>
    <w:p>
      <w:pPr>
        <w:spacing w:after="0" w:before="120"/>
      </w:pPr>
    </w:p>
    <w:p>
      <w:pPr>
        <w:jc w:val="center"/>
      </w:pPr>
      <w:r>
        <w:rPr>
          <w:rFonts w:ascii="Calibri" w:cs="Calibri" w:eastAsia="Calibri" w:hAnsi="Calibri"/>
          <w:color w:val="6B7280"/>
          <w:sz w:val="22"/>
          <w:szCs w:val="22"/>
        </w:rPr>
        <w:t xml:space="preserve">Presented by</w:t>
      </w:r>
    </w:p>
    <w:p>
      <w:pPr>
        <w:spacing w:after="20" w:before="40"/>
        <w:jc w:val="center"/>
      </w:pPr>
      <w:r>
        <w:rPr>
          <w:rFonts w:ascii="Calibri" w:cs="Calibri" w:eastAsia="Calibri" w:hAnsi="Calibri"/>
          <w:b/>
          <w:bCs/>
          <w:color w:val="1E0F36"/>
          <w:sz w:val="30"/>
          <w:szCs w:val="30"/>
        </w:rPr>
        <w:t xml:space="preserve">Dr Manas Swain</w:t>
      </w:r>
    </w:p>
    <w:p>
      <w:pPr>
        <w:spacing w:after="20" w:before="0"/>
        <w:jc w:val="center"/>
      </w:pPr>
      <w:r>
        <w:rPr>
          <w:rFonts w:ascii="Calibri" w:cs="Calibri" w:eastAsia="Calibri" w:hAnsi="Calibri"/>
          <w:color w:val="6B7280"/>
          <w:sz w:val="22"/>
          <w:szCs w:val="22"/>
        </w:rPr>
        <w:t xml:space="preserve">MBBS · Grad MHP · MS in Human Services</w:t>
      </w:r>
    </w:p>
    <w:p>
      <w:pPr>
        <w:spacing w:after="20" w:before="0"/>
        <w:jc w:val="center"/>
      </w:pPr>
      <w:r>
        <w:rPr>
          <w:rFonts w:ascii="Calibri" w:cs="Calibri" w:eastAsia="Calibri" w:hAnsi="Calibri"/>
          <w:color w:val="6B7280"/>
          <w:sz w:val="22"/>
          <w:szCs w:val="22"/>
        </w:rPr>
        <w:t xml:space="preserve">Founder &amp; Owner — Aussi-Nexus Group</w:t>
      </w:r>
    </w:p>
    <w:p>
      <w:pPr>
        <w:spacing w:after="20" w:before="0"/>
        <w:jc w:val="center"/>
      </w:pPr>
      <w:r>
        <w:rPr>
          <w:rFonts w:ascii="Calibri" w:cs="Calibri" w:eastAsia="Calibri" w:hAnsi="Calibri"/>
          <w:color w:val="6B7280"/>
          <w:sz w:val="22"/>
          <w:szCs w:val="22"/>
        </w:rPr>
        <w:t xml:space="preserve">ABN 76 947 108 181 · Shailer Park, Queensland, Australia</w:t>
      </w:r>
    </w:p>
    <w:p>
      <w:pPr>
        <w:spacing w:after="0" w:before="80"/>
      </w:pPr>
    </w:p>
    <w:p>
      <w:pPr>
        <w:jc w:val="center"/>
      </w:pPr>
      <w:r>
        <w:rPr>
          <w:rFonts w:ascii="Calibri" w:cs="Calibri" w:eastAsia="Calibri" w:hAnsi="Calibri"/>
          <w:color w:val="6B7280"/>
          <w:sz w:val="20"/>
          <w:szCs w:val="20"/>
        </w:rPr>
        <w:t xml:space="preserve">August 2026 · Confidential</w:t>
      </w:r>
    </w:p>
    <w:p>
      <w:r>
        <w:br w:type="page"/>
      </w:r>
    </w:p>
    <w:p>
      <w:pPr>
        <w:pStyle w:val="Heading1"/>
        <w:spacing w:after="100" w:before="360"/>
      </w:pPr>
      <w:r>
        <w:rPr>
          <w:rFonts w:ascii="Calibri" w:cs="Calibri" w:eastAsia="Calibri" w:hAnsi="Calibri"/>
          <w:b/>
          <w:bCs/>
          <w:color w:val="7C3AED"/>
          <w:sz w:val="44"/>
          <w:szCs w:val="44"/>
        </w:rPr>
        <w:t xml:space="preserve">EXECUTIVE SUMMARY</w:t>
      </w:r>
    </w:p>
    <w:p>
      <w:pPr>
        <w:pBdr>
          <w:bottom w:val="single" w:color="7C3AED" w:sz="6"/>
        </w:pBdr>
        <w:spacing w:after="160" w:before="160"/>
      </w:pPr>
    </w:p>
    <w:p>
      <w:pPr>
        <w:spacing w:after="80" w:before="40"/>
        <w:jc w:val="left"/>
      </w:pPr>
      <w:r>
        <w:rPr>
          <w:rFonts w:ascii="Calibri" w:cs="Calibri" w:eastAsia="Calibri" w:hAnsi="Calibri"/>
          <w:b w:val="false"/>
          <w:bCs w:val="false"/>
          <w:i w:val="false"/>
          <w:iCs w:val="false"/>
          <w:color w:val="374151"/>
          <w:sz w:val="22"/>
          <w:szCs w:val="22"/>
        </w:rPr>
        <w:t xml:space="preserve">Cosmic Leap: Starbound Odyssey is a fully designed, original-IP 3D gravity-platformer with a complete Game Design Document, character roster, world-building, monetisation model, and technical architecture — ready for a development studio to build immediately.</w:t>
      </w:r>
    </w:p>
    <w:p>
      <w:pPr>
        <w:spacing w:after="0" w:before="60"/>
      </w:pPr>
    </w:p>
    <w:p>
      <w:pPr>
        <w:spacing w:after="80" w:before="40"/>
        <w:jc w:val="left"/>
      </w:pPr>
      <w:r>
        <w:rPr>
          <w:rFonts w:ascii="Calibri" w:cs="Calibri" w:eastAsia="Calibri" w:hAnsi="Calibri"/>
          <w:b w:val="false"/>
          <w:bCs w:val="false"/>
          <w:i w:val="false"/>
          <w:iCs w:val="false"/>
          <w:color w:val="374151"/>
          <w:sz w:val="22"/>
          <w:szCs w:val="22"/>
        </w:rPr>
        <w:t xml:space="preserve">This package offers a studio the rare advantage of acquiring a polished creative foundation — skipping months of design and planning — and going straight into development. All intellectual property is original. No Nintendo, no licensed assets, no legal encumbrances.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What Is Included</w:t>
            </w:r>
          </w:p>
        </w:tc>
        <w:tc>
          <w:tcPr>
            <w:tcW w:type="dxa" w:w="57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Detail</w:t>
            </w:r>
          </w:p>
        </w:tc>
      </w:tr>
      <w:tr>
        <w:tc>
          <w:tcPr>
            <w:tcW w:type="dxa" w:w="36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Complete Game Design Document (GDD)</w:t>
            </w:r>
          </w:p>
        </w:tc>
        <w:tc>
          <w:tcPr>
            <w:tcW w:type="dxa" w:w="57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7 galaxy worlds, 4 playable characters, 4 game modes, full boss designs</w:t>
            </w:r>
          </w:p>
        </w:tc>
      </w:tr>
      <w:tr>
        <w:tc>
          <w:tcPr>
            <w:tcW w:type="dxa" w:w="36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Character Ability Trees</w:t>
            </w:r>
          </w:p>
        </w:tc>
        <w:tc>
          <w:tcPr>
            <w:tcW w:type="dxa" w:w="57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Nova, Luna, Sol, Orbit — 4 abilities per character, costs, unlock conditions</w:t>
            </w:r>
          </w:p>
        </w:tc>
      </w:tr>
      <w:tr>
        <w:tc>
          <w:tcPr>
            <w:tcW w:type="dxa" w:w="36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Token Economy Design</w:t>
            </w:r>
          </w:p>
        </w:tc>
        <w:tc>
          <w:tcPr>
            <w:tcW w:type="dxa" w:w="57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Star Shard system — earn rates, spend rates, pricing tiers, retention model</w:t>
            </w:r>
          </w:p>
        </w:tc>
      </w:tr>
      <w:tr>
        <w:tc>
          <w:tcPr>
            <w:tcW w:type="dxa" w:w="36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Technical Architecture</w:t>
            </w:r>
          </w:p>
        </w:tc>
        <w:tc>
          <w:tcPr>
            <w:tcW w:type="dxa" w:w="57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Full stack: Unity 6, Photon Fusion, Firebase, Stripe, anti-cheat specification</w:t>
            </w:r>
          </w:p>
        </w:tc>
      </w:tr>
      <w:tr>
        <w:tc>
          <w:tcPr>
            <w:tcW w:type="dxa" w:w="36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Monetisation Strategy</w:t>
            </w:r>
          </w:p>
        </w:tc>
        <w:tc>
          <w:tcPr>
            <w:tcW w:type="dxa" w:w="57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$0.99–$19.99 shard packs + monthly pass, F2P entry, no pay-to-win</w:t>
            </w:r>
          </w:p>
        </w:tc>
      </w:tr>
      <w:tr>
        <w:tc>
          <w:tcPr>
            <w:tcW w:type="dxa" w:w="36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Deployment Roadmap</w:t>
            </w:r>
          </w:p>
        </w:tc>
        <w:tc>
          <w:tcPr>
            <w:tcW w:type="dxa" w:w="57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7-phase launch plan: prototype → alpha → itch.io beta → Steam/Google/Apple</w:t>
            </w:r>
          </w:p>
        </w:tc>
      </w:tr>
      <w:tr>
        <w:tc>
          <w:tcPr>
            <w:tcW w:type="dxa" w:w="36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Interactive HTML Pitch Deck</w:t>
            </w:r>
          </w:p>
        </w:tc>
        <w:tc>
          <w:tcPr>
            <w:tcW w:type="dxa" w:w="57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Browser-based presentation of all content, shareable with any team member</w:t>
            </w:r>
          </w:p>
        </w:tc>
      </w:tr>
    </w:tbl>
    <w:p>
      <w:r>
        <w:br w:type="page"/>
      </w:r>
    </w:p>
    <w:p>
      <w:pPr>
        <w:pStyle w:val="Heading1"/>
        <w:spacing w:after="100" w:before="360"/>
      </w:pPr>
      <w:r>
        <w:rPr>
          <w:rFonts w:ascii="Calibri" w:cs="Calibri" w:eastAsia="Calibri" w:hAnsi="Calibri"/>
          <w:b/>
          <w:bCs/>
          <w:color w:val="7C3AED"/>
          <w:sz w:val="44"/>
          <w:szCs w:val="44"/>
        </w:rPr>
        <w:t xml:space="preserve">THE INTELLECTUAL PROPERTY</w:t>
      </w:r>
    </w:p>
    <w:p>
      <w:pPr>
        <w:pBdr>
          <w:bottom w:val="single" w:color="7C3AED" w:sz="6"/>
        </w:pBdr>
        <w:spacing w:after="160" w:before="160"/>
      </w:pPr>
    </w:p>
    <w:p>
      <w:pPr>
        <w:pStyle w:val="Heading2"/>
        <w:spacing w:after="80" w:before="240"/>
      </w:pPr>
      <w:r>
        <w:rPr>
          <w:rFonts w:ascii="Calibri" w:cs="Calibri" w:eastAsia="Calibri" w:hAnsi="Calibri"/>
          <w:b/>
          <w:bCs/>
          <w:color w:val="1E0F36"/>
          <w:sz w:val="28"/>
          <w:szCs w:val="28"/>
        </w:rPr>
        <w:t xml:space="preserve">1.1  What Is Cosmic Leap?</w:t>
      </w:r>
    </w:p>
    <w:p>
      <w:pPr>
        <w:spacing w:after="80" w:before="40"/>
        <w:jc w:val="left"/>
      </w:pPr>
      <w:r>
        <w:rPr>
          <w:rFonts w:ascii="Calibri" w:cs="Calibri" w:eastAsia="Calibri" w:hAnsi="Calibri"/>
          <w:b w:val="false"/>
          <w:bCs w:val="false"/>
          <w:i w:val="false"/>
          <w:iCs w:val="false"/>
          <w:color w:val="374151"/>
          <w:sz w:val="22"/>
          <w:szCs w:val="22"/>
        </w:rPr>
        <w:t xml:space="preserve">A 3D gravity-platformer where players leap between asteroid worlds in the Aether Galaxies — a fictional universe orbiting a dying neutron star. Each of the 7 worlds introduces a new gravity mechanic that builds on the last. The final world combines all mechanics simultaneously, creating a crescendo of skill and familiarity.</w:t>
      </w:r>
    </w:p>
    <w:p>
      <w:pPr>
        <w:spacing w:after="0" w:before="60"/>
      </w:pPr>
    </w:p>
    <w:p>
      <w:pPr>
        <w:spacing w:after="80" w:before="40"/>
        <w:jc w:val="left"/>
      </w:pPr>
      <w:r>
        <w:rPr>
          <w:rFonts w:ascii="Calibri" w:cs="Calibri" w:eastAsia="Calibri" w:hAnsi="Calibri"/>
          <w:b w:val="false"/>
          <w:bCs w:val="false"/>
          <w:i w:val="false"/>
          <w:iCs w:val="false"/>
          <w:color w:val="374151"/>
          <w:sz w:val="22"/>
          <w:szCs w:val="22"/>
        </w:rPr>
        <w:t xml:space="preserve">The game supports 1–4 players online across four modes: solo campaign, competitive race, PvP arena combat, and co-op puzzle solving. A Star Shard economy rewards skilled players with in-game currency while offering optional paid packs for casual players who want to progress faster.</w:t>
      </w:r>
    </w:p>
    <w:p>
      <w:pPr>
        <w:spacing w:after="0" w:before="80"/>
      </w:pPr>
    </w:p>
    <w:p>
      <w:pPr>
        <w:pStyle w:val="Heading2"/>
        <w:spacing w:after="80" w:before="240"/>
      </w:pPr>
      <w:r>
        <w:rPr>
          <w:rFonts w:ascii="Calibri" w:cs="Calibri" w:eastAsia="Calibri" w:hAnsi="Calibri"/>
          <w:b/>
          <w:bCs/>
          <w:color w:val="1E0F36"/>
          <w:sz w:val="28"/>
          <w:szCs w:val="28"/>
        </w:rPr>
        <w:t xml:space="preserve">1.2  Why This IP Has Commercial Value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Factor</w:t>
            </w:r>
          </w:p>
        </w:tc>
        <w:tc>
          <w:tcPr>
            <w:tcW w:type="dxa" w:w="65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Detail</w:t>
            </w:r>
          </w:p>
        </w:tc>
      </w:tr>
      <w:tr>
        <w:tc>
          <w:tcPr>
            <w:tcW w:type="dxa" w:w="28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Genre demand</w:t>
            </w:r>
          </w:p>
        </w:tc>
        <w:tc>
          <w:tcPr>
            <w:tcW w:type="dxa" w:w="65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3D platformers are perennially popular — Astro Bot won Game of the Year 2024; genre has active, spending audience</w:t>
            </w:r>
          </w:p>
        </w:tc>
      </w:tr>
      <w:tr>
        <w:tc>
          <w:tcPr>
            <w:tcW w:type="dxa" w:w="28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Original IP</w:t>
            </w:r>
          </w:p>
        </w:tc>
        <w:tc>
          <w:tcPr>
            <w:tcW w:type="dxa" w:w="65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Zero licensing risk; studio owns nothing that can be revoked; clean trademark path</w:t>
            </w:r>
          </w:p>
        </w:tc>
      </w:tr>
      <w:tr>
        <w:tc>
          <w:tcPr>
            <w:tcW w:type="dxa" w:w="28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Complete design</w:t>
            </w:r>
          </w:p>
        </w:tc>
        <w:tc>
          <w:tcPr>
            <w:tcW w:type="dxa" w:w="65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No creative guesswork needed — world, characters, economy, tech stack all specified</w:t>
            </w:r>
          </w:p>
        </w:tc>
      </w:tr>
      <w:tr>
        <w:tc>
          <w:tcPr>
            <w:tcW w:type="dxa" w:w="28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Scalable model</w:t>
            </w:r>
          </w:p>
        </w:tc>
        <w:tc>
          <w:tcPr>
            <w:tcW w:type="dxa" w:w="65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F2P entry lowers acquisition cost; shard economy creates recurring revenue without pay-to-win backlash</w:t>
            </w:r>
          </w:p>
        </w:tc>
      </w:tr>
      <w:tr>
        <w:tc>
          <w:tcPr>
            <w:tcW w:type="dxa" w:w="28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Multi-platform ready</w:t>
            </w:r>
          </w:p>
        </w:tc>
        <w:tc>
          <w:tcPr>
            <w:tcW w:type="dxa" w:w="65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Architecture designed for PC (Steam), Android (Google Play), and iOS (App Store) simultaneously</w:t>
            </w:r>
          </w:p>
        </w:tc>
      </w:tr>
      <w:tr>
        <w:tc>
          <w:tcPr>
            <w:tcW w:type="dxa" w:w="28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Co-op mechanic</w:t>
            </w:r>
          </w:p>
        </w:tc>
        <w:tc>
          <w:tcPr>
            <w:tcW w:type="dxa" w:w="65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Co-op exclusive paths and secret endings drive word-of-mouth — most effective free marketing</w:t>
            </w:r>
          </w:p>
        </w:tc>
      </w:tr>
    </w:tbl>
    <w:p>
      <w:r>
        <w:br w:type="page"/>
      </w:r>
    </w:p>
    <w:p>
      <w:pPr>
        <w:pStyle w:val="Heading2"/>
        <w:spacing w:after="80" w:before="240"/>
      </w:pPr>
      <w:r>
        <w:rPr>
          <w:rFonts w:ascii="Calibri" w:cs="Calibri" w:eastAsia="Calibri" w:hAnsi="Calibri"/>
          <w:b/>
          <w:bCs/>
          <w:color w:val="1E0F36"/>
          <w:sz w:val="28"/>
          <w:szCs w:val="28"/>
        </w:rPr>
        <w:t xml:space="preserve">1.3  The 7 Aether Galaxies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rPr>
          <w:tblHeader/>
        </w:trPr>
        <w:tc>
          <w:tcPr>
            <w:tcW w:type="dxa" w:w="20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World</w:t>
            </w:r>
          </w:p>
        </w:tc>
        <w:tc>
          <w:tcPr>
            <w:tcW w:type="dxa" w:w="32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Core Mechanic</w:t>
            </w:r>
          </w:p>
        </w:tc>
        <w:tc>
          <w:tcPr>
            <w:tcW w:type="dxa" w:w="2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Boss</w:t>
            </w:r>
          </w:p>
        </w:tc>
        <w:tc>
          <w:tcPr>
            <w:tcW w:type="dxa" w:w="17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Difficulty</w:t>
            </w:r>
          </w:p>
        </w:tc>
      </w:tr>
      <w:tr>
        <w:tc>
          <w:tcPr>
            <w:tcW w:type="dxa" w:w="20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Crystal Crust</w:t>
            </w:r>
          </w:p>
        </w:tc>
        <w:tc>
          <w:tcPr>
            <w:tcW w:type="dxa" w:w="32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Low gravity (0.4G) + gem-light puzzles</w:t>
            </w:r>
          </w:p>
        </w:tc>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Prism Warden</w:t>
            </w:r>
          </w:p>
        </w:tc>
        <w:tc>
          <w:tcPr>
            <w:tcW w:type="dxa" w:w="17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Intro</w:t>
            </w:r>
          </w:p>
        </w:tc>
      </w:tr>
      <w:tr>
        <w:tc>
          <w:tcPr>
            <w:tcW w:type="dxa" w:w="20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Nebula Gardens</w:t>
            </w:r>
          </w:p>
        </w:tc>
        <w:tc>
          <w:tcPr>
            <w:tcW w:type="dxa" w:w="32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Zero-G drift + pollen vision fog</w:t>
            </w:r>
          </w:p>
        </w:tc>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Thornveil the Ancient</w:t>
            </w:r>
          </w:p>
        </w:tc>
        <w:tc>
          <w:tcPr>
            <w:tcW w:type="dxa" w:w="17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Easy</w:t>
            </w:r>
          </w:p>
        </w:tc>
      </w:tr>
      <w:tr>
        <w:tc>
          <w:tcPr>
            <w:tcW w:type="dxa" w:w="20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Iron Halo</w:t>
            </w:r>
          </w:p>
        </w:tc>
        <w:tc>
          <w:tcPr>
            <w:tcW w:type="dxa" w:w="32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Magnetic surface gravity — wall and ceiling walking</w:t>
            </w:r>
          </w:p>
        </w:tc>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Constructor ΣGMA</w:t>
            </w:r>
          </w:p>
        </w:tc>
        <w:tc>
          <w:tcPr>
            <w:tcW w:type="dxa" w:w="17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Medium</w:t>
            </w:r>
          </w:p>
        </w:tc>
      </w:tr>
      <w:tr>
        <w:tc>
          <w:tcPr>
            <w:tcW w:type="dxa" w:w="20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Echo Void</w:t>
            </w:r>
          </w:p>
        </w:tc>
        <w:tc>
          <w:tcPr>
            <w:tcW w:type="dxa" w:w="32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Echolocation navigation — total darkness</w:t>
            </w:r>
          </w:p>
        </w:tc>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The Hollow Ear</w:t>
            </w:r>
          </w:p>
        </w:tc>
        <w:tc>
          <w:tcPr>
            <w:tcW w:type="dxa" w:w="17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Medium</w:t>
            </w:r>
          </w:p>
        </w:tc>
      </w:tr>
      <w:tr>
        <w:tc>
          <w:tcPr>
            <w:tcW w:type="dxa" w:w="20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Ember Drift</w:t>
            </w:r>
          </w:p>
        </w:tc>
        <w:tc>
          <w:tcPr>
            <w:tcW w:type="dxa" w:w="32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Thermal convection updrafts + lava tide events</w:t>
            </w:r>
          </w:p>
        </w:tc>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Magmavore Rex</w:t>
            </w:r>
          </w:p>
        </w:tc>
        <w:tc>
          <w:tcPr>
            <w:tcW w:type="dxa" w:w="17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Hard</w:t>
            </w:r>
          </w:p>
        </w:tc>
      </w:tr>
      <w:tr>
        <w:tc>
          <w:tcPr>
            <w:tcW w:type="dxa" w:w="20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Frost Orbit</w:t>
            </w:r>
          </w:p>
        </w:tc>
        <w:tc>
          <w:tcPr>
            <w:tcW w:type="dxa" w:w="32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Frictionless ice + gravitational slingshot nodes</w:t>
            </w:r>
          </w:p>
        </w:tc>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Glacius the Eternal</w:t>
            </w:r>
          </w:p>
        </w:tc>
        <w:tc>
          <w:tcPr>
            <w:tcW w:type="dxa" w:w="17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Hard</w:t>
            </w:r>
          </w:p>
        </w:tc>
      </w:tr>
      <w:tr>
        <w:tc>
          <w:tcPr>
            <w:tcW w:type="dxa" w:w="20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The Core</w:t>
            </w:r>
          </w:p>
        </w:tc>
        <w:tc>
          <w:tcPr>
            <w:tcW w:type="dxa" w:w="32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All 6 mechanics in rotating 90-second segments</w:t>
            </w:r>
          </w:p>
        </w:tc>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The Null Sovereign</w:t>
            </w:r>
          </w:p>
        </w:tc>
        <w:tc>
          <w:tcPr>
            <w:tcW w:type="dxa" w:w="17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Final</w:t>
            </w:r>
          </w:p>
        </w:tc>
      </w:tr>
    </w:tbl>
    <w:p>
      <w:pPr>
        <w:spacing w:after="0" w:before="80"/>
      </w:pPr>
    </w:p>
    <w:p>
      <w:pPr>
        <w:pStyle w:val="Heading2"/>
        <w:spacing w:after="80" w:before="240"/>
      </w:pPr>
      <w:r>
        <w:rPr>
          <w:rFonts w:ascii="Calibri" w:cs="Calibri" w:eastAsia="Calibri" w:hAnsi="Calibri"/>
          <w:b/>
          <w:bCs/>
          <w:color w:val="1E0F36"/>
          <w:sz w:val="28"/>
          <w:szCs w:val="28"/>
        </w:rPr>
        <w:t xml:space="preserve">1.4  The 4 Playable Characters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960"/>
        <w:gridCol w:w="2800"/>
      </w:tblGrid>
      <w:tr>
        <w:trPr>
          <w:tblHeader/>
        </w:trPr>
        <w:tc>
          <w:tcPr>
            <w:tcW w:type="dxa" w:w="1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Character</w:t>
            </w:r>
          </w:p>
        </w:tc>
        <w:tc>
          <w:tcPr>
            <w:tcW w:type="dxa" w:w="22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Role</w:t>
            </w:r>
          </w:p>
        </w:tc>
        <w:tc>
          <w:tcPr>
            <w:tcW w:type="dxa" w:w="29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Signature Ability</w:t>
            </w:r>
          </w:p>
        </w:tc>
        <w:tc>
          <w:tcPr>
            <w:tcW w:type="dxa" w:w="28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Unlock Method</w:t>
            </w:r>
          </w:p>
        </w:tc>
      </w:tr>
      <w:tr>
        <w:tc>
          <w:tcPr>
            <w:tcW w:type="dxa" w:w="1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Nova</w:t>
            </w:r>
          </w:p>
        </w:tc>
        <w:tc>
          <w:tcPr>
            <w:tcW w:type="dxa" w:w="22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Protagonist — Balanced</w:t>
            </w:r>
          </w:p>
        </w:tc>
        <w:tc>
          <w:tcPr>
            <w:tcW w:type="dxa" w:w="29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Star Dash (invincibility burst)</w:t>
            </w:r>
          </w:p>
        </w:tc>
        <w:tc>
          <w:tcPr>
            <w:tcW w:type="dxa" w:w="28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Available from start</w:t>
            </w:r>
          </w:p>
        </w:tc>
      </w:tr>
      <w:tr>
        <w:tc>
          <w:tcPr>
            <w:tcW w:type="dxa" w:w="1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Luna</w:t>
            </w:r>
          </w:p>
        </w:tc>
        <w:tc>
          <w:tcPr>
            <w:tcW w:type="dxa" w:w="22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Support — Gravity Specialist</w:t>
            </w:r>
          </w:p>
        </w:tc>
        <w:tc>
          <w:tcPr>
            <w:tcW w:type="dxa" w:w="29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Gravity Flip (reverse local gravity)</w:t>
            </w:r>
          </w:p>
        </w:tc>
        <w:tc>
          <w:tcPr>
            <w:tcW w:type="dxa" w:w="28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Complete Galaxy 2</w:t>
            </w:r>
          </w:p>
        </w:tc>
      </w:tr>
      <w:tr>
        <w:tc>
          <w:tcPr>
            <w:tcW w:type="dxa" w:w="1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Sol</w:t>
            </w:r>
          </w:p>
        </w:tc>
        <w:tc>
          <w:tcPr>
            <w:tcW w:type="dxa" w:w="22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Rival — Long Range Aggressor</w:t>
            </w:r>
          </w:p>
        </w:tc>
        <w:tc>
          <w:tcPr>
            <w:tcW w:type="dxa" w:w="29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Solar Blast (ranged stun projectile)</w:t>
            </w:r>
          </w:p>
        </w:tc>
        <w:tc>
          <w:tcPr>
            <w:tcW w:type="dxa" w:w="28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Defeat Sol boss in Galaxy 5</w:t>
            </w:r>
          </w:p>
        </w:tc>
      </w:tr>
      <w:tr>
        <w:tc>
          <w:tcPr>
            <w:tcW w:type="dxa" w:w="1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Orbit</w:t>
            </w:r>
          </w:p>
        </w:tc>
        <w:tc>
          <w:tcPr>
            <w:tcW w:type="dxa" w:w="22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Secret — Trickster</w:t>
            </w:r>
          </w:p>
        </w:tc>
        <w:tc>
          <w:tcPr>
            <w:tcW w:type="dxa" w:w="29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Phase Shift (walk through solid objects)</w:t>
            </w:r>
          </w:p>
        </w:tc>
        <w:tc>
          <w:tcPr>
            <w:tcW w:type="dxa" w:w="28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2,000 shards OR secret co-op ending</w:t>
            </w:r>
          </w:p>
        </w:tc>
      </w:tr>
    </w:tbl>
    <w:p>
      <w:r>
        <w:br w:type="page"/>
      </w:r>
    </w:p>
    <w:p>
      <w:pPr>
        <w:pStyle w:val="Heading1"/>
        <w:spacing w:after="100" w:before="360"/>
      </w:pPr>
      <w:r>
        <w:rPr>
          <w:rFonts w:ascii="Calibri" w:cs="Calibri" w:eastAsia="Calibri" w:hAnsi="Calibri"/>
          <w:b/>
          <w:bCs/>
          <w:color w:val="7C3AED"/>
          <w:sz w:val="44"/>
          <w:szCs w:val="44"/>
        </w:rPr>
        <w:t xml:space="preserve">MONETISATION MODEL</w:t>
      </w:r>
    </w:p>
    <w:p>
      <w:pPr>
        <w:pBdr>
          <w:bottom w:val="single" w:color="7C3AED" w:sz="6"/>
        </w:pBdr>
        <w:spacing w:after="160" w:before="160"/>
      </w:pPr>
    </w:p>
    <w:p>
      <w:pPr>
        <w:pStyle w:val="Heading2"/>
        <w:spacing w:after="80" w:before="240"/>
      </w:pPr>
      <w:r>
        <w:rPr>
          <w:rFonts w:ascii="Calibri" w:cs="Calibri" w:eastAsia="Calibri" w:hAnsi="Calibri"/>
          <w:b/>
          <w:bCs/>
          <w:color w:val="1E0F36"/>
          <w:sz w:val="28"/>
          <w:szCs w:val="28"/>
        </w:rPr>
        <w:t xml:space="preserve">2.1  Star Shard Economy Overview</w:t>
      </w:r>
    </w:p>
    <w:p>
      <w:pPr>
        <w:spacing w:after="80" w:before="40"/>
        <w:jc w:val="left"/>
      </w:pPr>
      <w:r>
        <w:rPr>
          <w:rFonts w:ascii="Calibri" w:cs="Calibri" w:eastAsia="Calibri" w:hAnsi="Calibri"/>
          <w:b w:val="false"/>
          <w:bCs w:val="false"/>
          <w:i w:val="false"/>
          <w:iCs w:val="false"/>
          <w:color w:val="374151"/>
          <w:sz w:val="22"/>
          <w:szCs w:val="22"/>
        </w:rPr>
        <w:t xml:space="preserve">Players begin with 500 free Star Shards — enough to play 4–6 sessions before needing to earn or purchase more. Shards are earned through gameplay (completing levels, winning PvP, defeating bosses) and spent on revives, cosmetics, and ability unlocks. The model rewards skill while creating organic spending motivation for casual players.</w:t>
      </w:r>
    </w:p>
    <w:p>
      <w:pPr>
        <w:spacing w:after="0" w:before="80"/>
      </w:pPr>
    </w:p>
    <w:p>
      <w:pPr>
        <w:pStyle w:val="Heading2"/>
        <w:spacing w:after="80" w:before="240"/>
      </w:pPr>
      <w:r>
        <w:rPr>
          <w:rFonts w:ascii="Calibri" w:cs="Calibri" w:eastAsia="Calibri" w:hAnsi="Calibri"/>
          <w:b/>
          <w:bCs/>
          <w:color w:val="1E0F36"/>
          <w:sz w:val="28"/>
          <w:szCs w:val="28"/>
        </w:rPr>
        <w:t xml:space="preserve">2.2  Shard Pack Pricing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200"/>
        <w:gridCol w:w="4160"/>
      </w:tblGrid>
      <w:tr>
        <w:trPr>
          <w:tblHeader/>
        </w:trPr>
        <w:tc>
          <w:tcPr>
            <w:tcW w:type="dxa" w:w="1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Pack</w:t>
            </w:r>
          </w:p>
        </w:tc>
        <w:tc>
          <w:tcPr>
            <w:tcW w:type="dxa" w:w="1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Price (AUD)</w:t>
            </w:r>
          </w:p>
        </w:tc>
        <w:tc>
          <w:tcPr>
            <w:tcW w:type="dxa" w:w="12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Shards</w:t>
            </w:r>
          </w:p>
        </w:tc>
        <w:tc>
          <w:tcPr>
            <w:tcW w:type="dxa" w:w="12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Bonus</w:t>
            </w:r>
          </w:p>
        </w:tc>
        <w:tc>
          <w:tcPr>
            <w:tcW w:type="dxa" w:w="41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Target Buyer</w:t>
            </w:r>
          </w:p>
        </w:tc>
      </w:tr>
      <w:tr>
        <w:tc>
          <w:tcPr>
            <w:tcW w:type="dxa" w:w="1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Spark</w:t>
            </w:r>
          </w:p>
        </w:tc>
        <w:tc>
          <w:tcPr>
            <w:tcW w:type="dxa" w:w="1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$0.99</w:t>
            </w:r>
          </w:p>
        </w:tc>
        <w:tc>
          <w:tcPr>
            <w:tcW w:type="dxa" w:w="12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1,200</w:t>
            </w:r>
          </w:p>
        </w:tc>
        <w:tc>
          <w:tcPr>
            <w:tcW w:type="dxa" w:w="12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w:t>
            </w:r>
          </w:p>
        </w:tc>
        <w:tc>
          <w:tcPr>
            <w:tcW w:type="dxa" w:w="41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First-time buyers testing the system</w:t>
            </w:r>
          </w:p>
        </w:tc>
      </w:tr>
      <w:tr>
        <w:tc>
          <w:tcPr>
            <w:tcW w:type="dxa" w:w="1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Glow</w:t>
            </w:r>
          </w:p>
        </w:tc>
        <w:tc>
          <w:tcPr>
            <w:tcW w:type="dxa" w:w="1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$4.99</w:t>
            </w:r>
          </w:p>
        </w:tc>
        <w:tc>
          <w:tcPr>
            <w:tcW w:type="dxa" w:w="12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7,500</w:t>
            </w:r>
          </w:p>
        </w:tc>
        <w:tc>
          <w:tcPr>
            <w:tcW w:type="dxa" w:w="12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+25%</w:t>
            </w:r>
          </w:p>
        </w:tc>
        <w:tc>
          <w:tcPr>
            <w:tcW w:type="dxa" w:w="41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Casual players who die occasionally</w:t>
            </w:r>
          </w:p>
        </w:tc>
      </w:tr>
      <w:tr>
        <w:tc>
          <w:tcPr>
            <w:tcW w:type="dxa" w:w="1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Radiance ★</w:t>
            </w:r>
          </w:p>
        </w:tc>
        <w:tc>
          <w:tcPr>
            <w:tcW w:type="dxa" w:w="1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$9.99</w:t>
            </w:r>
          </w:p>
        </w:tc>
        <w:tc>
          <w:tcPr>
            <w:tcW w:type="dxa" w:w="12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20,000</w:t>
            </w:r>
          </w:p>
        </w:tc>
        <w:tc>
          <w:tcPr>
            <w:tcW w:type="dxa" w:w="12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+60%</w:t>
            </w:r>
          </w:p>
        </w:tc>
        <w:tc>
          <w:tcPr>
            <w:tcW w:type="dxa" w:w="41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Regular players — highest conversion tier</w:t>
            </w:r>
          </w:p>
        </w:tc>
      </w:tr>
      <w:tr>
        <w:tc>
          <w:tcPr>
            <w:tcW w:type="dxa" w:w="1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Supernova</w:t>
            </w:r>
          </w:p>
        </w:tc>
        <w:tc>
          <w:tcPr>
            <w:tcW w:type="dxa" w:w="1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$19.99</w:t>
            </w:r>
          </w:p>
        </w:tc>
        <w:tc>
          <w:tcPr>
            <w:tcW w:type="dxa" w:w="12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55,000</w:t>
            </w:r>
          </w:p>
        </w:tc>
        <w:tc>
          <w:tcPr>
            <w:tcW w:type="dxa" w:w="12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+120%</w:t>
            </w:r>
          </w:p>
        </w:tc>
        <w:tc>
          <w:tcPr>
            <w:tcW w:type="dxa" w:w="41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Hardcore players unlocking all abilities</w:t>
            </w:r>
          </w:p>
        </w:tc>
      </w:tr>
      <w:tr>
        <w:tc>
          <w:tcPr>
            <w:tcW w:type="dxa" w:w="1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Monthly Pass</w:t>
            </w:r>
          </w:p>
        </w:tc>
        <w:tc>
          <w:tcPr>
            <w:tcW w:type="dxa" w:w="1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$4.99/month</w:t>
            </w:r>
          </w:p>
        </w:tc>
        <w:tc>
          <w:tcPr>
            <w:tcW w:type="dxa" w:w="12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2,000/day</w:t>
            </w:r>
          </w:p>
        </w:tc>
        <w:tc>
          <w:tcPr>
            <w:tcW w:type="dxa" w:w="12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 exclusive skins</w:t>
            </w:r>
          </w:p>
        </w:tc>
        <w:tc>
          <w:tcPr>
            <w:tcW w:type="dxa" w:w="41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Daily active players</w:t>
            </w:r>
          </w:p>
        </w:tc>
      </w:tr>
    </w:tbl>
    <w:p>
      <w:pPr>
        <w:spacing w:after="0" w:before="60"/>
      </w:pPr>
    </w:p>
    <w:p>
      <w:pPr>
        <w:pStyle w:val="Heading2"/>
        <w:spacing w:after="80" w:before="240"/>
      </w:pPr>
      <w:r>
        <w:rPr>
          <w:rFonts w:ascii="Calibri" w:cs="Calibri" w:eastAsia="Calibri" w:hAnsi="Calibri"/>
          <w:b/>
          <w:bCs/>
          <w:color w:val="1E0F36"/>
          <w:sz w:val="28"/>
          <w:szCs w:val="28"/>
        </w:rPr>
        <w:t xml:space="preserve">2.3  Revenue Projection (Conservative)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Milestone</w:t>
            </w:r>
          </w:p>
        </w:tc>
        <w:tc>
          <w:tcPr>
            <w:tcW w:type="dxa" w:w="16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Players</w:t>
            </w:r>
          </w:p>
        </w:tc>
        <w:tc>
          <w:tcPr>
            <w:tcW w:type="dxa" w:w="2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Est. Paying Users (4%)</w:t>
            </w:r>
          </w:p>
        </w:tc>
        <w:tc>
          <w:tcPr>
            <w:tcW w:type="dxa" w:w="29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Est. Monthly Revenue (AUD)</w:t>
            </w:r>
          </w:p>
        </w:tc>
      </w:tr>
      <w:tr>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Beta launch (itch.io)</w:t>
            </w:r>
          </w:p>
        </w:tc>
        <w:tc>
          <w:tcPr>
            <w:tcW w:type="dxa" w:w="16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500</w:t>
            </w:r>
          </w:p>
        </w:tc>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20</w:t>
            </w:r>
          </w:p>
        </w:tc>
        <w:tc>
          <w:tcPr>
            <w:tcW w:type="dxa" w:w="29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~$160</w:t>
            </w:r>
          </w:p>
        </w:tc>
      </w:tr>
      <w:tr>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6 months post-launch</w:t>
            </w:r>
          </w:p>
        </w:tc>
        <w:tc>
          <w:tcPr>
            <w:tcW w:type="dxa" w:w="16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5,000</w:t>
            </w:r>
          </w:p>
        </w:tc>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200</w:t>
            </w:r>
          </w:p>
        </w:tc>
        <w:tc>
          <w:tcPr>
            <w:tcW w:type="dxa" w:w="29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~$1,600</w:t>
            </w:r>
          </w:p>
        </w:tc>
      </w:tr>
      <w:tr>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12 months post-launch</w:t>
            </w:r>
          </w:p>
        </w:tc>
        <w:tc>
          <w:tcPr>
            <w:tcW w:type="dxa" w:w="16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15,000</w:t>
            </w:r>
          </w:p>
        </w:tc>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600</w:t>
            </w:r>
          </w:p>
        </w:tc>
        <w:tc>
          <w:tcPr>
            <w:tcW w:type="dxa" w:w="29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~$4,800</w:t>
            </w:r>
          </w:p>
        </w:tc>
      </w:tr>
      <w:tr>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Established title</w:t>
            </w:r>
          </w:p>
        </w:tc>
        <w:tc>
          <w:tcPr>
            <w:tcW w:type="dxa" w:w="16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50,000</w:t>
            </w:r>
          </w:p>
        </w:tc>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2,000</w:t>
            </w:r>
          </w:p>
        </w:tc>
        <w:tc>
          <w:tcPr>
            <w:tcW w:type="dxa" w:w="29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~$16,000</w:t>
            </w:r>
          </w:p>
        </w:tc>
      </w:tr>
    </w:tbl>
    <w:p>
      <w:pPr>
        <w:spacing w:after="80" w:before="40"/>
        <w:jc w:val="left"/>
      </w:pPr>
      <w:r>
        <w:rPr>
          <w:rFonts w:ascii="Calibri" w:cs="Calibri" w:eastAsia="Calibri" w:hAnsi="Calibri"/>
          <w:b w:val="false"/>
          <w:bCs w:val="false"/>
          <w:i/>
          <w:iCs/>
          <w:color w:val="374151"/>
          <w:sz w:val="18"/>
          <w:szCs w:val="18"/>
        </w:rPr>
        <w:t xml:space="preserve">Revenue projections based on 4% F2P conversion rate and $8 AUD average spend per paying user per month. After platform fees (15–30%), net revenue is approximately 70–85% of gross.</w:t>
      </w:r>
    </w:p>
    <w:p>
      <w:r>
        <w:br w:type="page"/>
      </w:r>
    </w:p>
    <w:p>
      <w:pPr>
        <w:pStyle w:val="Heading1"/>
        <w:spacing w:after="100" w:before="360"/>
      </w:pPr>
      <w:r>
        <w:rPr>
          <w:rFonts w:ascii="Calibri" w:cs="Calibri" w:eastAsia="Calibri" w:hAnsi="Calibri"/>
          <w:b/>
          <w:bCs/>
          <w:color w:val="7C3AED"/>
          <w:sz w:val="44"/>
          <w:szCs w:val="44"/>
        </w:rPr>
        <w:t xml:space="preserve">LICENSING &amp; DEAL STRUCTURES</w:t>
      </w:r>
    </w:p>
    <w:p>
      <w:pPr>
        <w:pBdr>
          <w:bottom w:val="single" w:color="7C3AED" w:sz="6"/>
        </w:pBdr>
        <w:spacing w:after="160" w:before="160"/>
      </w:pPr>
    </w:p>
    <w:p>
      <w:pPr>
        <w:spacing w:after="80" w:before="40"/>
        <w:jc w:val="left"/>
      </w:pPr>
      <w:r>
        <w:rPr>
          <w:rFonts w:ascii="Calibri" w:cs="Calibri" w:eastAsia="Calibri" w:hAnsi="Calibri"/>
          <w:b w:val="false"/>
          <w:bCs w:val="false"/>
          <w:i w:val="false"/>
          <w:iCs w:val="false"/>
          <w:color w:val="374151"/>
          <w:sz w:val="22"/>
          <w:szCs w:val="22"/>
        </w:rPr>
        <w:t xml:space="preserve">Three deal structures are available. The IP owner (Dr Manas Swain / Aussi-Nexus Group) is open to discussion on terms. All structures are negotiable.</w:t>
      </w:r>
    </w:p>
    <w:p>
      <w:pPr>
        <w:spacing w:after="0" w:before="60"/>
      </w:pPr>
    </w:p>
    <w:p>
      <w:pPr>
        <w:spacing w:after="60" w:before="160"/>
      </w:pPr>
      <w:r>
        <w:rPr>
          <w:rFonts w:ascii="Calibri" w:cs="Calibri" w:eastAsia="Calibri" w:hAnsi="Calibri"/>
          <w:b/>
          <w:bCs/>
          <w:color w:val="7C3AED"/>
          <w:sz w:val="24"/>
          <w:szCs w:val="24"/>
        </w:rPr>
        <w:t xml:space="preserve">Option 1 — Full IP Sale (Outright Purchase)</w:t>
      </w:r>
    </w:p>
    <w:p>
      <w:pPr>
        <w:spacing w:after="80" w:before="40"/>
        <w:jc w:val="left"/>
      </w:pPr>
      <w:r>
        <w:rPr>
          <w:rFonts w:ascii="Calibri" w:cs="Calibri" w:eastAsia="Calibri" w:hAnsi="Calibri"/>
          <w:b w:val="false"/>
          <w:bCs w:val="false"/>
          <w:i w:val="false"/>
          <w:iCs w:val="false"/>
          <w:color w:val="374151"/>
          <w:sz w:val="22"/>
          <w:szCs w:val="22"/>
        </w:rPr>
        <w:t xml:space="preserve">The studio purchases all rights to Cosmic Leap: Starbound Odyssey permanently. Dr Swain retains no ongoing interest. Recommended if the studio wants full creative control.</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Term</w:t>
            </w:r>
          </w:p>
        </w:tc>
        <w:tc>
          <w:tcPr>
            <w:tcW w:type="dxa" w:w="69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Detail</w:t>
            </w:r>
          </w:p>
        </w:tc>
      </w:tr>
      <w:tr>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Asking price</w:t>
            </w:r>
          </w:p>
        </w:tc>
        <w:tc>
          <w:tcPr>
            <w:tcW w:type="dxa" w:w="69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Open to offers — suggested starting range: $5,000–$20,000 AUD</w:t>
            </w:r>
          </w:p>
        </w:tc>
      </w:tr>
      <w:tr>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What transfers</w:t>
            </w:r>
          </w:p>
        </w:tc>
        <w:tc>
          <w:tcPr>
            <w:tcW w:type="dxa" w:w="69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All design documents, world IP, character IP, economy design, technical architecture</w:t>
            </w:r>
          </w:p>
        </w:tc>
      </w:tr>
      <w:tr>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What seller retains</w:t>
            </w:r>
          </w:p>
        </w:tc>
        <w:tc>
          <w:tcPr>
            <w:tcW w:type="dxa" w:w="69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Nothing — clean transfer of all rights</w:t>
            </w:r>
          </w:p>
        </w:tc>
      </w:tr>
      <w:tr>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Payment structure</w:t>
            </w:r>
          </w:p>
        </w:tc>
        <w:tc>
          <w:tcPr>
            <w:tcW w:type="dxa" w:w="69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Negotiable: lump sum or structured payments over 3–6 months</w:t>
            </w:r>
          </w:p>
        </w:tc>
      </w:tr>
    </w:tbl>
    <w:p>
      <w:pPr>
        <w:spacing w:after="0" w:before="80"/>
      </w:pPr>
    </w:p>
    <w:p>
      <w:pPr>
        <w:spacing w:after="60" w:before="160"/>
      </w:pPr>
      <w:r>
        <w:rPr>
          <w:rFonts w:ascii="Calibri" w:cs="Calibri" w:eastAsia="Calibri" w:hAnsi="Calibri"/>
          <w:b/>
          <w:bCs/>
          <w:color w:val="10B981"/>
          <w:sz w:val="24"/>
          <w:szCs w:val="24"/>
        </w:rPr>
        <w:t xml:space="preserve">Option 2 — Revenue Share License (Recommended)</w:t>
      </w:r>
    </w:p>
    <w:p>
      <w:pPr>
        <w:spacing w:after="80" w:before="40"/>
        <w:jc w:val="left"/>
      </w:pPr>
      <w:r>
        <w:rPr>
          <w:rFonts w:ascii="Calibri" w:cs="Calibri" w:eastAsia="Calibri" w:hAnsi="Calibri"/>
          <w:b w:val="false"/>
          <w:bCs w:val="false"/>
          <w:i w:val="false"/>
          <w:iCs w:val="false"/>
          <w:color w:val="374151"/>
          <w:sz w:val="22"/>
          <w:szCs w:val="22"/>
        </w:rPr>
        <w:t xml:space="preserve">Studio builds and publishes the game. Dr Swain receives a royalty on all net revenue in perpetuity. No upfront cost to the studio. Recommended for studios that prefer to preserve cash.</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Term</w:t>
            </w:r>
          </w:p>
        </w:tc>
        <w:tc>
          <w:tcPr>
            <w:tcW w:type="dxa" w:w="69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Detail</w:t>
            </w:r>
          </w:p>
        </w:tc>
      </w:tr>
      <w:tr>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Upfront fee</w:t>
            </w:r>
          </w:p>
        </w:tc>
        <w:tc>
          <w:tcPr>
            <w:tcW w:type="dxa" w:w="69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$0 — studio pays nothing to acquire the license</w:t>
            </w:r>
          </w:p>
        </w:tc>
      </w:tr>
      <w:tr>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Royalty rate</w:t>
            </w:r>
          </w:p>
        </w:tc>
        <w:tc>
          <w:tcPr>
            <w:tcW w:type="dxa" w:w="69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8–15% of net revenue (after platform fees) — negotiable</w:t>
            </w:r>
          </w:p>
        </w:tc>
      </w:tr>
      <w:tr>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Royalty duration</w:t>
            </w:r>
          </w:p>
        </w:tc>
        <w:tc>
          <w:tcPr>
            <w:tcW w:type="dxa" w:w="69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Lifetime of the product</w:t>
            </w:r>
          </w:p>
        </w:tc>
      </w:tr>
      <w:tr>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Creative control</w:t>
            </w:r>
          </w:p>
        </w:tc>
        <w:tc>
          <w:tcPr>
            <w:tcW w:type="dxa" w:w="69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Studio has full creative control; IP owner receives royalty only</w:t>
            </w:r>
          </w:p>
        </w:tc>
      </w:tr>
      <w:tr>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Audit rights</w:t>
            </w:r>
          </w:p>
        </w:tc>
        <w:tc>
          <w:tcPr>
            <w:tcW w:type="dxa" w:w="69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IP owner receives quarterly revenue reports and has audit rights</w:t>
            </w:r>
          </w:p>
        </w:tc>
      </w:tr>
      <w:tr>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Minimum guarantee</w:t>
            </w:r>
          </w:p>
        </w:tc>
        <w:tc>
          <w:tcPr>
            <w:tcW w:type="dxa" w:w="69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Negotiable — e.g. $200 AUD/month minimum regardless of performance</w:t>
            </w:r>
          </w:p>
        </w:tc>
      </w:tr>
    </w:tbl>
    <w:p>
      <w:pPr>
        <w:spacing w:after="0" w:before="80"/>
      </w:pPr>
    </w:p>
    <w:p>
      <w:pPr>
        <w:spacing w:after="60" w:before="160"/>
      </w:pPr>
      <w:r>
        <w:rPr>
          <w:rFonts w:ascii="Calibri" w:cs="Calibri" w:eastAsia="Calibri" w:hAnsi="Calibri"/>
          <w:b/>
          <w:bCs/>
          <w:color w:val="F59E0B"/>
          <w:sz w:val="24"/>
          <w:szCs w:val="24"/>
        </w:rPr>
        <w:t xml:space="preserve">Option 3 — Co-Publishing Agreement</w:t>
      </w:r>
    </w:p>
    <w:p>
      <w:pPr>
        <w:spacing w:after="80" w:before="40"/>
        <w:jc w:val="left"/>
      </w:pPr>
      <w:r>
        <w:rPr>
          <w:rFonts w:ascii="Calibri" w:cs="Calibri" w:eastAsia="Calibri" w:hAnsi="Calibri"/>
          <w:b w:val="false"/>
          <w:bCs w:val="false"/>
          <w:i w:val="false"/>
          <w:iCs w:val="false"/>
          <w:color w:val="374151"/>
          <w:sz w:val="22"/>
          <w:szCs w:val="22"/>
        </w:rPr>
        <w:t xml:space="preserve">Studio handles development and technical publishing. Dr Swain contributes ongoing creative direction (e.g. expansion world designs, new character concepts). Revenue split 60/40 (studio/IP owner) after platform fees.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Term</w:t>
            </w:r>
          </w:p>
        </w:tc>
        <w:tc>
          <w:tcPr>
            <w:tcW w:type="dxa" w:w="69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Detail</w:t>
            </w:r>
          </w:p>
        </w:tc>
      </w:tr>
      <w:tr>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Studio share</w:t>
            </w:r>
          </w:p>
        </w:tc>
        <w:tc>
          <w:tcPr>
            <w:tcW w:type="dxa" w:w="69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60% of net revenue</w:t>
            </w:r>
          </w:p>
        </w:tc>
      </w:tr>
      <w:tr>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IP owner share</w:t>
            </w:r>
          </w:p>
        </w:tc>
        <w:tc>
          <w:tcPr>
            <w:tcW w:type="dxa" w:w="69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40% of net revenue</w:t>
            </w:r>
          </w:p>
        </w:tc>
      </w:tr>
      <w:tr>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IP owner's contribution</w:t>
            </w:r>
          </w:p>
        </w:tc>
        <w:tc>
          <w:tcPr>
            <w:tcW w:type="dxa" w:w="69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Creative direction, expansion content design, marketing consultation</w:t>
            </w:r>
          </w:p>
        </w:tc>
      </w:tr>
      <w:tr>
        <w:tc>
          <w:tcPr>
            <w:tcW w:type="dxa" w:w="24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Decision making</w:t>
            </w:r>
          </w:p>
        </w:tc>
        <w:tc>
          <w:tcPr>
            <w:tcW w:type="dxa" w:w="696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Studio has final say on technical and launch decisions</w:t>
            </w:r>
          </w:p>
        </w:tc>
      </w:tr>
      <w:tr>
        <w:tc>
          <w:tcPr>
            <w:tcW w:type="dxa" w:w="24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Duration</w:t>
            </w:r>
          </w:p>
        </w:tc>
        <w:tc>
          <w:tcPr>
            <w:tcW w:type="dxa" w:w="696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Minimum 3-year agreement with renewal option</w:t>
            </w:r>
          </w:p>
        </w:tc>
      </w:tr>
    </w:tbl>
    <w:p>
      <w:r>
        <w:br w:type="page"/>
      </w:r>
    </w:p>
    <w:p>
      <w:pPr>
        <w:pStyle w:val="Heading1"/>
        <w:spacing w:after="100" w:before="360"/>
      </w:pPr>
      <w:r>
        <w:rPr>
          <w:rFonts w:ascii="Calibri" w:cs="Calibri" w:eastAsia="Calibri" w:hAnsi="Calibri"/>
          <w:b/>
          <w:bCs/>
          <w:color w:val="7C3AED"/>
          <w:sz w:val="44"/>
          <w:szCs w:val="44"/>
        </w:rPr>
        <w:t xml:space="preserve">NEXT STEPS</w:t>
      </w:r>
    </w:p>
    <w:p>
      <w:pPr>
        <w:pBdr>
          <w:bottom w:val="single" w:color="7C3AED" w:sz="6"/>
        </w:pBdr>
        <w:spacing w:after="160" w:before="160"/>
      </w:pPr>
    </w:p>
    <w:p>
      <w:pPr>
        <w:spacing w:after="80" w:before="40"/>
        <w:jc w:val="left"/>
      </w:pPr>
      <w:r>
        <w:rPr>
          <w:rFonts w:ascii="Calibri" w:cs="Calibri" w:eastAsia="Calibri" w:hAnsi="Calibri"/>
          <w:b w:val="false"/>
          <w:bCs w:val="false"/>
          <w:i w:val="false"/>
          <w:iCs w:val="false"/>
          <w:color w:val="374151"/>
          <w:sz w:val="22"/>
          <w:szCs w:val="22"/>
        </w:rPr>
        <w:t xml:space="preserve">To express interest or request the full interactive Game Bible (HTML format), contact:</w:t>
      </w:r>
    </w:p>
    <w:p>
      <w:pPr>
        <w:spacing w:after="0" w:before="60"/>
      </w:pPr>
    </w:p>
    <w:p>
      <w:pPr>
        <w:spacing w:after="40" w:before="80"/>
      </w:pPr>
      <w:r>
        <w:rPr>
          <w:rFonts w:ascii="Calibri" w:cs="Calibri" w:eastAsia="Calibri" w:hAnsi="Calibri"/>
          <w:b/>
          <w:bCs/>
          <w:color w:val="1E0F36"/>
          <w:sz w:val="26"/>
          <w:szCs w:val="26"/>
        </w:rPr>
        <w:t xml:space="preserve">Dr Manas Swain</w:t>
      </w:r>
    </w:p>
    <w:p>
      <w:pPr>
        <w:spacing w:after="20" w:before="0"/>
      </w:pPr>
      <w:r>
        <w:rPr>
          <w:rFonts w:ascii="Calibri" w:cs="Calibri" w:eastAsia="Calibri" w:hAnsi="Calibri"/>
          <w:color w:val="6B7280"/>
          <w:sz w:val="22"/>
          <w:szCs w:val="22"/>
        </w:rPr>
        <w:t xml:space="preserve">Founder &amp; Owner — Aussi-Nexus Group</w:t>
      </w:r>
    </w:p>
    <w:p>
      <w:pPr>
        <w:spacing w:after="20" w:before="0"/>
      </w:pPr>
      <w:r>
        <w:rPr>
          <w:rFonts w:ascii="Calibri" w:cs="Calibri" w:eastAsia="Calibri" w:hAnsi="Calibri"/>
          <w:color w:val="6B7280"/>
          <w:sz w:val="22"/>
          <w:szCs w:val="22"/>
        </w:rPr>
        <w:t xml:space="preserve">ABN 76 947 108 181</w:t>
      </w:r>
    </w:p>
    <w:p>
      <w:pPr>
        <w:spacing w:after="20" w:before="0"/>
      </w:pPr>
      <w:r>
        <w:rPr>
          <w:rFonts w:ascii="Calibri" w:cs="Calibri" w:eastAsia="Calibri" w:hAnsi="Calibri"/>
          <w:color w:val="6B7280"/>
          <w:sz w:val="22"/>
          <w:szCs w:val="22"/>
        </w:rPr>
        <w:t xml:space="preserve">Shailer Park, Queensland, Australia</w:t>
      </w:r>
    </w:p>
    <w:p>
      <w:pPr>
        <w:spacing w:after="20" w:before="0"/>
      </w:pPr>
      <w:r>
        <w:rPr>
          <w:rFonts w:ascii="Calibri" w:cs="Calibri" w:eastAsia="Calibri" w:hAnsi="Calibri"/>
          <w:color w:val="7C3AED"/>
          <w:sz w:val="22"/>
          <w:szCs w:val="22"/>
        </w:rPr>
        <w:t xml:space="preserve">Website: aunexus.nexus</w:t>
      </w:r>
    </w:p>
    <w:p>
      <w:pPr>
        <w:spacing w:after="0" w:before="80"/>
      </w:pPr>
    </w:p>
    <w:p>
      <w:pPr>
        <w:pStyle w:val="Heading2"/>
        <w:spacing w:after="80" w:before="240"/>
      </w:pPr>
      <w:r>
        <w:rPr>
          <w:rFonts w:ascii="Calibri" w:cs="Calibri" w:eastAsia="Calibri" w:hAnsi="Calibri"/>
          <w:b/>
          <w:bCs/>
          <w:color w:val="1E0F36"/>
          <w:sz w:val="28"/>
          <w:szCs w:val="28"/>
        </w:rPr>
        <w:t xml:space="preserve">What Happens After Contact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80"/>
        <w:gridCol w:w="3600"/>
      </w:tblGrid>
      <w:tr>
        <w:trPr>
          <w:tblHeader/>
        </w:trPr>
        <w:tc>
          <w:tcPr>
            <w:tcW w:type="dxa" w:w="48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Step</w:t>
            </w:r>
          </w:p>
        </w:tc>
        <w:tc>
          <w:tcPr>
            <w:tcW w:type="dxa" w:w="528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Action</w:t>
            </w:r>
          </w:p>
        </w:tc>
        <w:tc>
          <w:tcPr>
            <w:tcW w:type="dxa" w:w="36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Timeline</w:t>
            </w:r>
          </w:p>
        </w:tc>
      </w:tr>
      <w:tr>
        <w:tc>
          <w:tcPr>
            <w:tcW w:type="dxa" w:w="48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1</w:t>
            </w:r>
          </w:p>
        </w:tc>
        <w:tc>
          <w:tcPr>
            <w:tcW w:type="dxa" w:w="528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Studio contacts Dr Swain expressing interest</w:t>
            </w:r>
          </w:p>
        </w:tc>
        <w:tc>
          <w:tcPr>
            <w:tcW w:type="dxa" w:w="36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Day 1</w:t>
            </w:r>
          </w:p>
        </w:tc>
      </w:tr>
      <w:tr>
        <w:tc>
          <w:tcPr>
            <w:tcW w:type="dxa" w:w="48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2</w:t>
            </w:r>
          </w:p>
        </w:tc>
        <w:tc>
          <w:tcPr>
            <w:tcW w:type="dxa" w:w="528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Full interactive Game Bible shared (no cost, NDA optional)</w:t>
            </w:r>
          </w:p>
        </w:tc>
        <w:tc>
          <w:tcPr>
            <w:tcW w:type="dxa" w:w="36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Day 1–2</w:t>
            </w:r>
          </w:p>
        </w:tc>
      </w:tr>
      <w:tr>
        <w:tc>
          <w:tcPr>
            <w:tcW w:type="dxa" w:w="48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3</w:t>
            </w:r>
          </w:p>
        </w:tc>
        <w:tc>
          <w:tcPr>
            <w:tcW w:type="dxa" w:w="528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Discovery call to discuss deal structure preferences</w:t>
            </w:r>
          </w:p>
        </w:tc>
        <w:tc>
          <w:tcPr>
            <w:tcW w:type="dxa" w:w="36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Week 1</w:t>
            </w:r>
          </w:p>
        </w:tc>
      </w:tr>
      <w:tr>
        <w:tc>
          <w:tcPr>
            <w:tcW w:type="dxa" w:w="48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4</w:t>
            </w:r>
          </w:p>
        </w:tc>
        <w:tc>
          <w:tcPr>
            <w:tcW w:type="dxa" w:w="528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Term sheet drafted and reviewed by both parties</w:t>
            </w:r>
          </w:p>
        </w:tc>
        <w:tc>
          <w:tcPr>
            <w:tcW w:type="dxa" w:w="3600"/>
            <w:shd w:fill="FFFFFF" w:color="auto" w:val="clear"/>
            <w:tcMar>
              <w:top w:type="dxa" w:w="80"/>
              <w:left w:type="dxa" w:w="120"/>
              <w:bottom w:type="dxa" w:w="80"/>
              <w:right w:type="dxa" w:w="120"/>
            </w:tcMar>
          </w:tcPr>
          <w:p>
            <w:r>
              <w:rPr>
                <w:rFonts w:ascii="Calibri" w:cs="Calibri" w:eastAsia="Calibri" w:hAnsi="Calibri"/>
                <w:color w:val="374151"/>
                <w:sz w:val="20"/>
                <w:szCs w:val="20"/>
              </w:rPr>
              <w:t xml:space="preserve">Week 2–3</w:t>
            </w:r>
          </w:p>
        </w:tc>
      </w:tr>
      <w:tr>
        <w:tc>
          <w:tcPr>
            <w:tcW w:type="dxa" w:w="48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5</w:t>
            </w:r>
          </w:p>
        </w:tc>
        <w:tc>
          <w:tcPr>
            <w:tcW w:type="dxa" w:w="528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Agreement signed — studio begins development</w:t>
            </w:r>
          </w:p>
        </w:tc>
        <w:tc>
          <w:tcPr>
            <w:tcW w:type="dxa" w:w="3600"/>
            <w:shd w:fill="F5F3FF" w:color="auto" w:val="clear"/>
            <w:tcMar>
              <w:top w:type="dxa" w:w="80"/>
              <w:left w:type="dxa" w:w="120"/>
              <w:bottom w:type="dxa" w:w="80"/>
              <w:right w:type="dxa" w:w="120"/>
            </w:tcMar>
          </w:tcPr>
          <w:p>
            <w:r>
              <w:rPr>
                <w:rFonts w:ascii="Calibri" w:cs="Calibri" w:eastAsia="Calibri" w:hAnsi="Calibri"/>
                <w:color w:val="374151"/>
                <w:sz w:val="20"/>
                <w:szCs w:val="20"/>
              </w:rPr>
              <w:t xml:space="preserve">Week 4</w:t>
            </w:r>
          </w:p>
        </w:tc>
      </w:tr>
    </w:tbl>
    <w:p>
      <w:pPr>
        <w:spacing w:after="0" w:before="120"/>
      </w:pPr>
    </w:p>
    <w:p>
      <w:pPr>
        <w:pBdr>
          <w:bottom w:val="single" w:color="7C3AED" w:sz="6"/>
        </w:pBdr>
        <w:spacing w:after="160" w:before="160"/>
      </w:pPr>
    </w:p>
    <w:p>
      <w:pPr>
        <w:spacing w:after="40" w:before="80"/>
        <w:jc w:val="center"/>
      </w:pPr>
      <w:r>
        <w:rPr>
          <w:rFonts w:ascii="Calibri" w:cs="Calibri" w:eastAsia="Calibri" w:hAnsi="Calibri"/>
          <w:i/>
          <w:iCs/>
          <w:color w:val="6B7280"/>
          <w:sz w:val="18"/>
          <w:szCs w:val="18"/>
        </w:rPr>
        <w:t xml:space="preserve">This document is confidential and intended for the named recipient only.</w:t>
      </w:r>
    </w:p>
    <w:p>
      <w:pPr>
        <w:jc w:val="center"/>
      </w:pPr>
      <w:r>
        <w:rPr>
          <w:rFonts w:ascii="Calibri" w:cs="Calibri" w:eastAsia="Calibri" w:hAnsi="Calibri"/>
          <w:i/>
          <w:iCs/>
          <w:color w:val="6B7280"/>
          <w:sz w:val="18"/>
          <w:szCs w:val="18"/>
        </w:rPr>
        <w:t xml:space="preserve">Cosmic Leap: Starbound Odyssey is an original IP of Aussi-Nexus Group · ABN 76 947 108 181 · ©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2026-08-07T14:43:39.301Z</dcterms:created>
  <dcterms:modified xsi:type="dcterms:W3CDTF">2026-08-07T14:43:39.320Z</dcterms:modified>
</cp:coreProperties>
</file>

<file path=docProps/custom.xml><?xml version="1.0" encoding="utf-8"?>
<Properties xmlns="http://schemas.openxmlformats.org/officeDocument/2006/custom-properties" xmlns:vt="http://schemas.openxmlformats.org/officeDocument/2006/docPropsVTypes"/>
</file>