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0"/>
        <w:jc w:val="center"/>
      </w:pPr>
      <w:r>
        <w:rPr>
          <w:rFonts w:ascii="Calibri" w:cs="Calibri" w:eastAsia="Calibri" w:hAnsi="Calibri"/>
          <w:b/>
          <w:bCs/>
          <w:i w:val="false"/>
          <w:iCs w:val="false"/>
          <w:caps/>
          <w:color w:val="7C3AED"/>
          <w:sz w:val="32"/>
          <w:szCs w:val="32"/>
        </w:rPr>
        <w:t xml:space="preserve">INTELLECTUAL PROPERTY REGISTER</w:t>
      </w:r>
    </w:p>
    <w:p>
      <w:pPr>
        <w:spacing w:after="40" w:before="40"/>
        <w:jc w:val="center"/>
      </w:pPr>
      <w:r>
        <w:rPr>
          <w:rFonts w:ascii="Calibri" w:cs="Calibri" w:eastAsia="Calibri" w:hAnsi="Calibri"/>
          <w:b w:val="false"/>
          <w:bCs w:val="false"/>
          <w:i w:val="false"/>
          <w:iCs w:val="false"/>
          <w:caps w:val="false"/>
          <w:color w:val="1E1040"/>
          <w:sz w:val="22"/>
          <w:szCs w:val="22"/>
        </w:rPr>
        <w:t xml:space="preserve">Aussi-Nexus Group · ABN 76 947 108 181</w:t>
      </w:r>
    </w:p>
    <w:p>
      <w:pPr>
        <w:spacing w:after="40" w:before="40"/>
        <w:jc w:val="center"/>
      </w:pPr>
      <w:r>
        <w:rPr>
          <w:rFonts w:ascii="Calibri" w:cs="Calibri" w:eastAsia="Calibri" w:hAnsi="Calibri"/>
          <w:b w:val="false"/>
          <w:bCs w:val="false"/>
          <w:i w:val="false"/>
          <w:iCs w:val="false"/>
          <w:caps w:val="false"/>
          <w:color w:val="6B7280"/>
          <w:sz w:val="20"/>
          <w:szCs w:val="20"/>
        </w:rPr>
        <w:t xml:space="preserve">Maintained by: Dr Manas Swain</w:t>
      </w:r>
    </w:p>
    <w:p>
      <w:pPr>
        <w:spacing w:after="40" w:before="40"/>
        <w:jc w:val="center"/>
      </w:pPr>
      <w:r>
        <w:rPr>
          <w:rFonts w:ascii="Calibri" w:cs="Calibri" w:eastAsia="Calibri" w:hAnsi="Calibri"/>
          <w:b w:val="false"/>
          <w:bCs w:val="false"/>
          <w:i w:val="false"/>
          <w:iCs w:val="false"/>
          <w:caps w:val="false"/>
          <w:color w:val="6B7280"/>
          <w:sz w:val="20"/>
          <w:szCs w:val="20"/>
        </w:rPr>
        <w:t xml:space="preserve">Last Updated: August 2026</w:t>
      </w:r>
    </w:p>
    <w:p>
      <w:pPr>
        <w:pBdr>
          <w:bottom w:val="single" w:color="7C3AED" w:sz="8"/>
        </w:pBdr>
        <w:spacing w:after="160" w:before="160"/>
      </w:pPr>
    </w:p>
    <w:p>
      <w:pPr>
        <w:spacing w:after="80" w:before="40"/>
        <w:jc w:val="both"/>
      </w:pPr>
      <w:r>
        <w:rPr>
          <w:rFonts w:ascii="Calibri" w:cs="Calibri" w:eastAsia="Calibri" w:hAnsi="Calibri"/>
          <w:b w:val="false"/>
          <w:bCs w:val="false"/>
          <w:i w:val="false"/>
          <w:iCs w:val="false"/>
          <w:color w:val="374151"/>
          <w:sz w:val="22"/>
          <w:szCs w:val="22"/>
        </w:rPr>
        <w:t xml:space="preserve">This register is the official record of all intellectual property owned by or licensed to Aussi-Nexus Group (ABN 76 947 108 181). It should be updated whenever new IP is created, licensed, or transferred.</w:t>
      </w:r>
    </w:p>
    <w:p>
      <w:pPr>
        <w:pStyle w:val="Heading1"/>
        <w:spacing w:after="80" w:before="320"/>
      </w:pPr>
      <w:r>
        <w:rPr>
          <w:rFonts w:ascii="Calibri" w:cs="Calibri" w:eastAsia="Calibri" w:hAnsi="Calibri"/>
          <w:b/>
          <w:bCs/>
          <w:color w:val="7C3AED"/>
          <w:sz w:val="40"/>
          <w:szCs w:val="40"/>
        </w:rPr>
        <w:t xml:space="preserve">SECTION 1 — COPYRIGHT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600"/>
        <w:gridCol w:w="1400"/>
        <w:gridCol w:w="1400"/>
        <w:gridCol w:w="1200"/>
        <w:gridCol w:w="2120"/>
      </w:tblGrid>
      <w:tr>
        <w:trPr>
          <w:tblHeader/>
        </w:trPr>
        <w:tc>
          <w:tcPr>
            <w:tcW w:type="dxa" w:w="64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Ref</w:t>
            </w:r>
          </w:p>
        </w:tc>
        <w:tc>
          <w:tcPr>
            <w:tcW w:type="dxa" w:w="26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Work Title</w:t>
            </w:r>
          </w:p>
        </w:tc>
        <w:tc>
          <w:tcPr>
            <w:tcW w:type="dxa" w:w="1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Type</w:t>
            </w:r>
          </w:p>
        </w:tc>
        <w:tc>
          <w:tcPr>
            <w:tcW w:type="dxa" w:w="1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Author</w:t>
            </w:r>
          </w:p>
        </w:tc>
        <w:tc>
          <w:tcPr>
            <w:tcW w:type="dxa" w:w="12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Date Created</w:t>
            </w:r>
          </w:p>
        </w:tc>
        <w:tc>
          <w:tcPr>
            <w:tcW w:type="dxa" w:w="212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Status</w:t>
            </w:r>
          </w:p>
        </w:tc>
      </w:tr>
      <w:tr>
        <w:tc>
          <w:tcPr>
            <w:tcW w:type="dxa" w:w="64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CL-001</w:t>
            </w:r>
          </w:p>
        </w:tc>
        <w:tc>
          <w:tcPr>
            <w:tcW w:type="dxa" w:w="26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Cosmic Leap: Starbound Odyssey — Complete GDD</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Literary Work</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12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Owned — Unlicensed</w:t>
            </w:r>
          </w:p>
        </w:tc>
      </w:tr>
      <w:tr>
        <w:tc>
          <w:tcPr>
            <w:tcW w:type="dxa" w:w="64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CL-002</w:t>
            </w:r>
          </w:p>
        </w:tc>
        <w:tc>
          <w:tcPr>
            <w:tcW w:type="dxa" w:w="26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Character: Nova — Design &amp; Ability Tree</w:t>
            </w:r>
          </w:p>
        </w:tc>
        <w:tc>
          <w:tcPr>
            <w:tcW w:type="dxa" w:w="1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Literary/Artistic</w:t>
            </w:r>
          </w:p>
        </w:tc>
        <w:tc>
          <w:tcPr>
            <w:tcW w:type="dxa" w:w="1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c>
          <w:tcPr>
            <w:tcW w:type="dxa" w:w="1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12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Owned — Unlicensed</w:t>
            </w:r>
          </w:p>
        </w:tc>
      </w:tr>
      <w:tr>
        <w:tc>
          <w:tcPr>
            <w:tcW w:type="dxa" w:w="64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CL-003</w:t>
            </w:r>
          </w:p>
        </w:tc>
        <w:tc>
          <w:tcPr>
            <w:tcW w:type="dxa" w:w="26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Character: Luna — Design &amp; Ability Tree</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Literary/Artistic</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12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Owned — Unlicensed</w:t>
            </w:r>
          </w:p>
        </w:tc>
      </w:tr>
      <w:tr>
        <w:tc>
          <w:tcPr>
            <w:tcW w:type="dxa" w:w="64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CL-004</w:t>
            </w:r>
          </w:p>
        </w:tc>
        <w:tc>
          <w:tcPr>
            <w:tcW w:type="dxa" w:w="26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Character: Sol — Design &amp; Ability Tree</w:t>
            </w:r>
          </w:p>
        </w:tc>
        <w:tc>
          <w:tcPr>
            <w:tcW w:type="dxa" w:w="1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Literary/Artistic</w:t>
            </w:r>
          </w:p>
        </w:tc>
        <w:tc>
          <w:tcPr>
            <w:tcW w:type="dxa" w:w="1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c>
          <w:tcPr>
            <w:tcW w:type="dxa" w:w="1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12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Owned — Unlicensed</w:t>
            </w:r>
          </w:p>
        </w:tc>
      </w:tr>
      <w:tr>
        <w:tc>
          <w:tcPr>
            <w:tcW w:type="dxa" w:w="64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CL-005</w:t>
            </w:r>
          </w:p>
        </w:tc>
        <w:tc>
          <w:tcPr>
            <w:tcW w:type="dxa" w:w="26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Character: Orbit — Design &amp; Ability Tree</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Literary/Artistic</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12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Owned — Unlicensed</w:t>
            </w:r>
          </w:p>
        </w:tc>
      </w:tr>
      <w:tr>
        <w:tc>
          <w:tcPr>
            <w:tcW w:type="dxa" w:w="64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CL-006</w:t>
            </w:r>
          </w:p>
        </w:tc>
        <w:tc>
          <w:tcPr>
            <w:tcW w:type="dxa" w:w="26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Aether Galaxies Universe — World-Building Document</w:t>
            </w:r>
          </w:p>
        </w:tc>
        <w:tc>
          <w:tcPr>
            <w:tcW w:type="dxa" w:w="1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Literary Work</w:t>
            </w:r>
          </w:p>
        </w:tc>
        <w:tc>
          <w:tcPr>
            <w:tcW w:type="dxa" w:w="1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c>
          <w:tcPr>
            <w:tcW w:type="dxa" w:w="1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12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Owned — Unlicensed</w:t>
            </w:r>
          </w:p>
        </w:tc>
      </w:tr>
      <w:tr>
        <w:tc>
          <w:tcPr>
            <w:tcW w:type="dxa" w:w="64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CL-007</w:t>
            </w:r>
          </w:p>
        </w:tc>
        <w:tc>
          <w:tcPr>
            <w:tcW w:type="dxa" w:w="26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Star Shard Economy Design Document</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Literary Work</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12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Owned — Unlicensed</w:t>
            </w:r>
          </w:p>
        </w:tc>
      </w:tr>
      <w:tr>
        <w:tc>
          <w:tcPr>
            <w:tcW w:type="dxa" w:w="64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CL-008</w:t>
            </w:r>
          </w:p>
        </w:tc>
        <w:tc>
          <w:tcPr>
            <w:tcW w:type="dxa" w:w="26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Technical Architecture Specification</w:t>
            </w:r>
          </w:p>
        </w:tc>
        <w:tc>
          <w:tcPr>
            <w:tcW w:type="dxa" w:w="1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Literary Work</w:t>
            </w:r>
          </w:p>
        </w:tc>
        <w:tc>
          <w:tcPr>
            <w:tcW w:type="dxa" w:w="1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c>
          <w:tcPr>
            <w:tcW w:type="dxa" w:w="1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12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Owned — Unlicensed</w:t>
            </w:r>
          </w:p>
        </w:tc>
      </w:tr>
      <w:tr>
        <w:tc>
          <w:tcPr>
            <w:tcW w:type="dxa" w:w="64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CL-009</w:t>
            </w:r>
          </w:p>
        </w:tc>
        <w:tc>
          <w:tcPr>
            <w:tcW w:type="dxa" w:w="26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Interactive HTML Game Bible</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Software/Literary</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12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Owned — Unlicensed</w:t>
            </w:r>
          </w:p>
        </w:tc>
      </w:tr>
      <w:tr>
        <w:tc>
          <w:tcPr>
            <w:tcW w:type="dxa" w:w="64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CL-010</w:t>
            </w:r>
          </w:p>
        </w:tc>
        <w:tc>
          <w:tcPr>
            <w:tcW w:type="dxa" w:w="26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7 Boss Character Designs (written descriptions)</w:t>
            </w:r>
          </w:p>
        </w:tc>
        <w:tc>
          <w:tcPr>
            <w:tcW w:type="dxa" w:w="1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Literary Work</w:t>
            </w:r>
          </w:p>
        </w:tc>
        <w:tc>
          <w:tcPr>
            <w:tcW w:type="dxa" w:w="1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c>
          <w:tcPr>
            <w:tcW w:type="dxa" w:w="1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12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Owned — Unlicensed</w:t>
            </w:r>
          </w:p>
        </w:tc>
      </w:tr>
    </w:tbl>
    <w:p>
      <w:pPr>
        <w:pStyle w:val="Heading1"/>
        <w:spacing w:after="80" w:before="320"/>
      </w:pPr>
      <w:r>
        <w:rPr>
          <w:rFonts w:ascii="Calibri" w:cs="Calibri" w:eastAsia="Calibri" w:hAnsi="Calibri"/>
          <w:b/>
          <w:bCs/>
          <w:color w:val="7C3AED"/>
          <w:sz w:val="40"/>
          <w:szCs w:val="40"/>
        </w:rPr>
        <w:t xml:space="preserve">SECTION 2 — TRADE MARKS (UNREGISTERED)</w:t>
      </w:r>
    </w:p>
    <w:p>
      <w:pPr>
        <w:spacing w:after="80" w:before="40"/>
        <w:jc w:val="both"/>
      </w:pPr>
      <w:r>
        <w:rPr>
          <w:rFonts w:ascii="Calibri" w:cs="Calibri" w:eastAsia="Calibri" w:hAnsi="Calibri"/>
          <w:b w:val="false"/>
          <w:bCs w:val="false"/>
          <w:i w:val="false"/>
          <w:iCs w:val="false"/>
          <w:color w:val="374151"/>
          <w:sz w:val="22"/>
          <w:szCs w:val="22"/>
        </w:rPr>
        <w:t xml:space="preserve">The following names and terms are used as unregistered trade marks of Aussi-Nexus Group. Unregistered trade marks are protected under the Australian Consumer Law (Schedule 2, Competition and Consumer Act 2010) against misleading or deceptive conduct. Registration with IP Australia is recommended for stronger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640"/>
        <w:gridCol w:w="1200"/>
        <w:gridCol w:w="2800"/>
      </w:tblGrid>
      <w:tr>
        <w:trPr>
          <w:tblHeader/>
        </w:trPr>
        <w:tc>
          <w:tcPr>
            <w:tcW w:type="dxa" w:w="72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Ref</w:t>
            </w:r>
          </w:p>
        </w:tc>
        <w:tc>
          <w:tcPr>
            <w:tcW w:type="dxa" w:w="20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Mark</w:t>
            </w:r>
          </w:p>
        </w:tc>
        <w:tc>
          <w:tcPr>
            <w:tcW w:type="dxa" w:w="264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Class (goods/services)</w:t>
            </w:r>
          </w:p>
        </w:tc>
        <w:tc>
          <w:tcPr>
            <w:tcW w:type="dxa" w:w="12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First Use</w:t>
            </w:r>
          </w:p>
        </w:tc>
        <w:tc>
          <w:tcPr>
            <w:tcW w:type="dxa" w:w="28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Status</w:t>
            </w:r>
          </w:p>
        </w:tc>
      </w:tr>
      <w:tr>
        <w:tc>
          <w:tcPr>
            <w:tcW w:type="dxa" w:w="72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TM-001</w:t>
            </w:r>
          </w:p>
        </w:tc>
        <w:tc>
          <w:tcPr>
            <w:tcW w:type="dxa" w:w="20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Cosmic Leap</w:t>
            </w:r>
          </w:p>
        </w:tc>
        <w:tc>
          <w:tcPr>
            <w:tcW w:type="dxa" w:w="264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Computer games; entertainment services</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Unregistered — consider registration</w:t>
            </w:r>
          </w:p>
        </w:tc>
      </w:tr>
      <w:tr>
        <w:tc>
          <w:tcPr>
            <w:tcW w:type="dxa" w:w="72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TM-002</w:t>
            </w:r>
          </w:p>
        </w:tc>
        <w:tc>
          <w:tcPr>
            <w:tcW w:type="dxa" w:w="20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Starbound Odyssey</w:t>
            </w:r>
          </w:p>
        </w:tc>
        <w:tc>
          <w:tcPr>
            <w:tcW w:type="dxa" w:w="264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Computer games; entertainment services</w:t>
            </w:r>
          </w:p>
        </w:tc>
        <w:tc>
          <w:tcPr>
            <w:tcW w:type="dxa" w:w="1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Unregistered — consider registration</w:t>
            </w:r>
          </w:p>
        </w:tc>
      </w:tr>
      <w:tr>
        <w:tc>
          <w:tcPr>
            <w:tcW w:type="dxa" w:w="72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TM-003</w:t>
            </w:r>
          </w:p>
        </w:tc>
        <w:tc>
          <w:tcPr>
            <w:tcW w:type="dxa" w:w="20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Aether Galaxies</w:t>
            </w:r>
          </w:p>
        </w:tc>
        <w:tc>
          <w:tcPr>
            <w:tcW w:type="dxa" w:w="264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Entertainment services; fictional universe</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Unregistered</w:t>
            </w:r>
          </w:p>
        </w:tc>
      </w:tr>
      <w:tr>
        <w:tc>
          <w:tcPr>
            <w:tcW w:type="dxa" w:w="72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TM-004</w:t>
            </w:r>
          </w:p>
        </w:tc>
        <w:tc>
          <w:tcPr>
            <w:tcW w:type="dxa" w:w="20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Star Shards</w:t>
            </w:r>
          </w:p>
        </w:tc>
        <w:tc>
          <w:tcPr>
            <w:tcW w:type="dxa" w:w="264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In-game currency; entertainment services</w:t>
            </w:r>
          </w:p>
        </w:tc>
        <w:tc>
          <w:tcPr>
            <w:tcW w:type="dxa" w:w="1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Unregistered</w:t>
            </w:r>
          </w:p>
        </w:tc>
      </w:tr>
      <w:tr>
        <w:tc>
          <w:tcPr>
            <w:tcW w:type="dxa" w:w="72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TM-005</w:t>
            </w:r>
          </w:p>
        </w:tc>
        <w:tc>
          <w:tcPr>
            <w:tcW w:type="dxa" w:w="20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The Null Sovereign</w:t>
            </w:r>
          </w:p>
        </w:tc>
        <w:tc>
          <w:tcPr>
            <w:tcW w:type="dxa" w:w="264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Character name; entertainment</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2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Unregistered</w:t>
            </w:r>
          </w:p>
        </w:tc>
      </w:tr>
    </w:tbl>
    <w:p>
      <w:pPr>
        <w:spacing w:after="80" w:before="40"/>
        <w:jc w:val="both"/>
      </w:pPr>
      <w:r>
        <w:rPr>
          <w:rFonts w:ascii="Calibri" w:cs="Calibri" w:eastAsia="Calibri" w:hAnsi="Calibri"/>
          <w:b w:val="false"/>
          <w:bCs w:val="false"/>
          <w:i/>
          <w:iCs/>
          <w:color w:val="374151"/>
          <w:sz w:val="20"/>
          <w:szCs w:val="20"/>
        </w:rPr>
        <w:t xml:space="preserve">To register a trade mark in Australia: ip.gov.au/trade-marks. Cost: approximately $250 AUD per class. Recommended classes: Class 9 (computer software) and Class 41 (entertainment services).</w:t>
      </w:r>
    </w:p>
    <w:p>
      <w:pPr>
        <w:pStyle w:val="Heading1"/>
        <w:spacing w:after="80" w:before="320"/>
      </w:pPr>
      <w:r>
        <w:rPr>
          <w:rFonts w:ascii="Calibri" w:cs="Calibri" w:eastAsia="Calibri" w:hAnsi="Calibri"/>
          <w:b/>
          <w:bCs/>
          <w:color w:val="7C3AED"/>
          <w:sz w:val="40"/>
          <w:szCs w:val="40"/>
        </w:rPr>
        <w:t xml:space="preserve">SECTION 3 — LICENCE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960"/>
        <w:gridCol w:w="1400"/>
        <w:gridCol w:w="1200"/>
        <w:gridCol w:w="960"/>
        <w:gridCol w:w="1120"/>
        <w:gridCol w:w="2000"/>
      </w:tblGrid>
      <w:tr>
        <w:trPr>
          <w:tblHeader/>
        </w:trPr>
        <w:tc>
          <w:tcPr>
            <w:tcW w:type="dxa" w:w="72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Ref</w:t>
            </w:r>
          </w:p>
        </w:tc>
        <w:tc>
          <w:tcPr>
            <w:tcW w:type="dxa" w:w="19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Licensee</w:t>
            </w:r>
          </w:p>
        </w:tc>
        <w:tc>
          <w:tcPr>
            <w:tcW w:type="dxa" w:w="1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IP Licensed</w:t>
            </w:r>
          </w:p>
        </w:tc>
        <w:tc>
          <w:tcPr>
            <w:tcW w:type="dxa" w:w="12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Deal Type</w:t>
            </w:r>
          </w:p>
        </w:tc>
        <w:tc>
          <w:tcPr>
            <w:tcW w:type="dxa" w:w="9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Date</w:t>
            </w:r>
          </w:p>
        </w:tc>
        <w:tc>
          <w:tcPr>
            <w:tcW w:type="dxa" w:w="112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Royalty Rate</w:t>
            </w:r>
          </w:p>
        </w:tc>
        <w:tc>
          <w:tcPr>
            <w:tcW w:type="dxa" w:w="20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Status</w:t>
            </w:r>
          </w:p>
        </w:tc>
      </w:tr>
      <w:tr>
        <w:tc>
          <w:tcPr>
            <w:tcW w:type="dxa" w:w="72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LIC-001</w:t>
            </w:r>
          </w:p>
        </w:tc>
        <w:tc>
          <w:tcPr>
            <w:tcW w:type="dxa" w:w="19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[To be completed upon first deal]</w:t>
            </w:r>
          </w:p>
        </w:tc>
        <w:tc>
          <w:tcPr>
            <w:tcW w:type="dxa" w:w="1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c>
          <w:tcPr>
            <w:tcW w:type="dxa" w:w="9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c>
          <w:tcPr>
            <w:tcW w:type="dxa" w:w="112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c>
          <w:tcPr>
            <w:tcW w:type="dxa" w:w="20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r>
    </w:tbl>
    <w:p>
      <w:pPr>
        <w:pStyle w:val="Heading1"/>
        <w:spacing w:after="80" w:before="320"/>
      </w:pPr>
      <w:r>
        <w:rPr>
          <w:rFonts w:ascii="Calibri" w:cs="Calibri" w:eastAsia="Calibri" w:hAnsi="Calibri"/>
          <w:b/>
          <w:bCs/>
          <w:color w:val="7C3AED"/>
          <w:sz w:val="40"/>
          <w:szCs w:val="40"/>
        </w:rPr>
        <w:t xml:space="preserve">SECTION 4 — RECOMMENDED NEXT STEPS FOR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60"/>
        <w:gridCol w:w="4200"/>
      </w:tblGrid>
      <w:tr>
        <w:trPr>
          <w:tblHeader/>
        </w:trPr>
        <w:tc>
          <w:tcPr>
            <w:tcW w:type="dxa" w:w="28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Action</w:t>
            </w:r>
          </w:p>
        </w:tc>
        <w:tc>
          <w:tcPr>
            <w:tcW w:type="dxa" w:w="12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Cost (AUD)</w:t>
            </w:r>
          </w:p>
        </w:tc>
        <w:tc>
          <w:tcPr>
            <w:tcW w:type="dxa" w:w="11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Priority</w:t>
            </w:r>
          </w:p>
        </w:tc>
        <w:tc>
          <w:tcPr>
            <w:tcW w:type="dxa" w:w="42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How To Do It</w:t>
            </w:r>
          </w:p>
        </w:tc>
      </w:tr>
      <w:tr>
        <w:tc>
          <w:tcPr>
            <w:tcW w:type="dxa" w:w="2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Have Copyright Declaration witnessed by JP</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$0 — JP service is free in QLD</w:t>
            </w:r>
          </w:p>
        </w:tc>
        <w:tc>
          <w:tcPr>
            <w:tcW w:type="dxa" w:w="11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HIGH</w:t>
            </w:r>
          </w:p>
        </w:tc>
        <w:tc>
          <w:tcPr>
            <w:tcW w:type="dxa" w:w="4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Find your nearest JP at qld.gov.au/law/legal-mediation-and-justice-of-the-peace/find-a-justice-of-the-peace</w:t>
            </w:r>
          </w:p>
        </w:tc>
      </w:tr>
      <w:tr>
        <w:tc>
          <w:tcPr>
            <w:tcW w:type="dxa" w:w="2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Register "Cosmic Leap" as trade mark</w:t>
            </w:r>
          </w:p>
        </w:tc>
        <w:tc>
          <w:tcPr>
            <w:tcW w:type="dxa" w:w="1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~$250 per class</w:t>
            </w:r>
          </w:p>
        </w:tc>
        <w:tc>
          <w:tcPr>
            <w:tcW w:type="dxa" w:w="116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MEDIUM</w:t>
            </w:r>
          </w:p>
        </w:tc>
        <w:tc>
          <w:tcPr>
            <w:tcW w:type="dxa" w:w="4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ip.gov.au/trade-marks — lodge application online</w:t>
            </w:r>
          </w:p>
        </w:tc>
      </w:tr>
      <w:tr>
        <w:tc>
          <w:tcPr>
            <w:tcW w:type="dxa" w:w="2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Register "Starbound Odyssey" as trade mark</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~$250 per class</w:t>
            </w:r>
          </w:p>
        </w:tc>
        <w:tc>
          <w:tcPr>
            <w:tcW w:type="dxa" w:w="11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MEDIUM</w:t>
            </w:r>
          </w:p>
        </w:tc>
        <w:tc>
          <w:tcPr>
            <w:tcW w:type="dxa" w:w="4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Same as above — can lodge same day as Cosmic Leap</w:t>
            </w:r>
          </w:p>
        </w:tc>
      </w:tr>
      <w:tr>
        <w:tc>
          <w:tcPr>
            <w:tcW w:type="dxa" w:w="2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Consult IP lawyer before first licence deal</w:t>
            </w:r>
          </w:p>
        </w:tc>
        <w:tc>
          <w:tcPr>
            <w:tcW w:type="dxa" w:w="1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$200–$500 for 1hr consult</w:t>
            </w:r>
          </w:p>
        </w:tc>
        <w:tc>
          <w:tcPr>
            <w:tcW w:type="dxa" w:w="116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HIGH — before signing anything</w:t>
            </w:r>
          </w:p>
        </w:tc>
        <w:tc>
          <w:tcPr>
            <w:tcW w:type="dxa" w:w="4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lawsociety.com.au/for-the-community/find-a-lawyer</w:t>
            </w:r>
          </w:p>
        </w:tc>
      </w:tr>
      <w:tr>
        <w:tc>
          <w:tcPr>
            <w:tcW w:type="dxa" w:w="2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Consider provisional patent for unique game mechanics if applicable</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~$110 filing fee</w:t>
            </w:r>
          </w:p>
        </w:tc>
        <w:tc>
          <w:tcPr>
            <w:tcW w:type="dxa" w:w="11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LOW</w:t>
            </w:r>
          </w:p>
        </w:tc>
        <w:tc>
          <w:tcPr>
            <w:tcW w:type="dxa" w:w="4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ip.gov.au/patents — only if mechanics are truly novel</w:t>
            </w:r>
          </w:p>
        </w:tc>
      </w:tr>
    </w:tbl>
    <w:p>
      <w:pPr>
        <w:pStyle w:val="Heading1"/>
        <w:spacing w:after="80" w:before="320"/>
      </w:pPr>
      <w:r>
        <w:rPr>
          <w:rFonts w:ascii="Calibri" w:cs="Calibri" w:eastAsia="Calibri" w:hAnsi="Calibri"/>
          <w:b/>
          <w:bCs/>
          <w:color w:val="7C3AED"/>
          <w:sz w:val="40"/>
          <w:szCs w:val="40"/>
        </w:rPr>
        <w:t xml:space="preserve">SECTION 5 —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200"/>
        <w:gridCol w:w="5400"/>
        <w:gridCol w:w="1800"/>
      </w:tblGrid>
      <w:tr>
        <w:trPr>
          <w:tblHeader/>
        </w:trPr>
        <w:tc>
          <w:tcPr>
            <w:tcW w:type="dxa" w:w="9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Version</w:t>
            </w:r>
          </w:p>
        </w:tc>
        <w:tc>
          <w:tcPr>
            <w:tcW w:type="dxa" w:w="12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Date</w:t>
            </w:r>
          </w:p>
        </w:tc>
        <w:tc>
          <w:tcPr>
            <w:tcW w:type="dxa" w:w="5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Changes</w:t>
            </w:r>
          </w:p>
        </w:tc>
        <w:tc>
          <w:tcPr>
            <w:tcW w:type="dxa" w:w="18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Updated By</w:t>
            </w:r>
          </w:p>
        </w:tc>
      </w:tr>
      <w:tr>
        <w:tc>
          <w:tcPr>
            <w:tcW w:type="dxa" w:w="9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1.0</w:t>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c>
          <w:tcPr>
            <w:tcW w:type="dxa" w:w="5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Initial register created — all Cosmic Leap IP recorded</w:t>
            </w:r>
          </w:p>
        </w:tc>
        <w:tc>
          <w:tcPr>
            <w:tcW w:type="dxa" w:w="1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Dr Manas Swain</w:t>
            </w:r>
          </w:p>
        </w:tc>
      </w:tr>
      <w:tr>
        <w:tc>
          <w:tcPr>
            <w:tcW w:type="dxa" w:w="96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c>
          <w:tcPr>
            <w:tcW w:type="dxa" w:w="12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c>
          <w:tcPr>
            <w:tcW w:type="dxa" w:w="5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c>
          <w:tcPr>
            <w:tcW w:type="dxa" w:w="1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r>
      <w:tr>
        <w:tc>
          <w:tcPr>
            <w:tcW w:type="dxa" w:w="9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c>
          <w:tcPr>
            <w:tcW w:type="dxa" w:w="12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c>
          <w:tcPr>
            <w:tcW w:type="dxa" w:w="5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c>
          <w:tcPr>
            <w:tcW w:type="dxa" w:w="1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
            </w:r>
          </w:p>
        </w:tc>
      </w:tr>
    </w:tbl>
    <w:p>
      <w:pPr>
        <w:spacing w:after="0" w:before="160"/>
      </w:pPr>
    </w:p>
    <w:p>
      <w:pPr>
        <w:pBdr>
          <w:bottom w:val="single" w:color="9CA3AF" w:sz="8"/>
        </w:pBdr>
        <w:spacing w:after="160" w:before="160"/>
      </w:pPr>
    </w:p>
    <w:p>
      <w:pPr>
        <w:spacing w:after="40" w:before="40"/>
        <w:jc w:val="center"/>
      </w:pPr>
      <w:r>
        <w:rPr>
          <w:rFonts w:ascii="Calibri" w:cs="Calibri" w:eastAsia="Calibri" w:hAnsi="Calibri"/>
          <w:b w:val="false"/>
          <w:bCs w:val="false"/>
          <w:i/>
          <w:iCs/>
          <w:caps w:val="false"/>
          <w:color w:val="6B7280"/>
          <w:sz w:val="18"/>
          <w:szCs w:val="18"/>
        </w:rPr>
        <w:t xml:space="preserve">© 2026 Aussi-Nexus Group (ABN 76 947 108 181). All rights reserved.</w:t>
      </w:r>
    </w:p>
    <w:p>
      <w:pPr>
        <w:spacing w:after="40" w:before="40"/>
        <w:jc w:val="center"/>
      </w:pPr>
      <w:r>
        <w:rPr>
          <w:rFonts w:ascii="Calibri" w:cs="Calibri" w:eastAsia="Calibri" w:hAnsi="Calibri"/>
          <w:b w:val="false"/>
          <w:bCs w:val="false"/>
          <w:i/>
          <w:iCs/>
          <w:caps w:val="false"/>
          <w:color w:val="6B7280"/>
          <w:sz w:val="18"/>
          <w:szCs w:val="18"/>
        </w:rPr>
        <w:t xml:space="preserve">This register is a confidential business document. Update it whenever IP is created, licensed, or transferred.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2026-08-07T23:47:01.619Z</dcterms:created>
  <dcterms:modified xsi:type="dcterms:W3CDTF">2026-08-07T23:47:01.619Z</dcterms:modified>
</cp:coreProperties>
</file>

<file path=docProps/custom.xml><?xml version="1.0" encoding="utf-8"?>
<Properties xmlns="http://schemas.openxmlformats.org/officeDocument/2006/custom-properties" xmlns:vt="http://schemas.openxmlformats.org/officeDocument/2006/docPropsVTypes"/>
</file>