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Black" w:cs="Arial Black" w:eastAsia="Arial Black" w:hAnsi="Arial Black"/>
          <w:b/>
          <w:bCs/>
          <w:color w:val="C0392B"/>
          <w:sz w:val="52"/>
          <w:szCs w:val="52"/>
        </w:rPr>
        <w:t xml:space="preserve">AUSSI-NEXUS GROUP</w:t>
      </w:r>
    </w:p>
    <w:p>
      <w:pPr>
        <w:spacing w:after="60"/>
        <w:jc w:val="center"/>
      </w:pPr>
      <w:r>
        <w:rPr>
          <w:rFonts w:ascii="Calibri" w:cs="Calibri" w:eastAsia="Calibri" w:hAnsi="Calibri"/>
          <w:color w:val="666666"/>
          <w:sz w:val="20"/>
          <w:szCs w:val="20"/>
        </w:rPr>
        <w:t xml:space="preserve">ABN 76 947 108 181</w:t>
      </w:r>
    </w:p>
    <w:p>
      <w:pPr>
        <w:spacing w:after="280"/>
        <w:jc w:val="center"/>
      </w:pPr>
      <w:r>
        <w:rPr>
          <w:rFonts w:ascii="Calibri" w:cs="Calibri" w:eastAsia="Calibri" w:hAnsi="Calibri"/>
          <w:i/>
          <w:iCs/>
          <w:color w:val="666666"/>
          <w:sz w:val="18"/>
          <w:szCs w:val="18"/>
        </w:rPr>
        <w:t xml:space="preserve">Shailer Park, Queensland, Australia</w:t>
      </w:r>
    </w:p>
    <w:p>
      <w:pPr>
        <w:pBdr>
          <w:bottom w:val="single" w:color="C0392B" w:sz="6"/>
        </w:pBdr>
        <w:spacing w:after="240"/>
      </w:pPr>
    </w:p>
    <w:p>
      <w:pPr>
        <w:spacing w:after="80" w:before="200"/>
        <w:jc w:val="center"/>
      </w:pPr>
      <w:r>
        <w:rPr>
          <w:rFonts w:ascii="Arial Black" w:cs="Arial Black" w:eastAsia="Arial Black" w:hAnsi="Arial Black"/>
          <w:b/>
          <w:bCs/>
          <w:color w:val="C0392B"/>
          <w:sz w:val="36"/>
          <w:szCs w:val="36"/>
        </w:rPr>
        <w:t xml:space="preserve">COPYRIGHT &amp; INTELLECTUAL PROPERTY DECLARATION</w:t>
      </w:r>
    </w:p>
    <w:p>
      <w:pPr>
        <w:spacing w:after="60"/>
        <w:jc w:val="center"/>
      </w:pPr>
      <w:r>
        <w:rPr>
          <w:rFonts w:ascii="Calibri" w:cs="Calibri" w:eastAsia="Calibri" w:hAnsi="Calibri"/>
          <w:b/>
          <w:bCs/>
          <w:color w:val="1A1A1A"/>
          <w:sz w:val="22"/>
          <w:szCs w:val="22"/>
        </w:rPr>
        <w:t xml:space="preserve">IRON RING: ULTIMATE EDITION — Browser-Based Combat Game Application</w:t>
      </w:r>
    </w:p>
    <w:p>
      <w:pPr>
        <w:spacing w:after="360"/>
        <w:jc w:val="center"/>
      </w:pPr>
      <w:r>
        <w:rPr>
          <w:rFonts w:ascii="Calibri" w:cs="Calibri" w:eastAsia="Calibri" w:hAnsi="Calibri"/>
          <w:i/>
          <w:iCs/>
          <w:color w:val="666666"/>
          <w:sz w:val="18"/>
          <w:szCs w:val="18"/>
        </w:rPr>
        <w:t xml:space="preserve">Document Date: 7 August 2026</w:t>
      </w:r>
    </w:p>
    <w:p>
      <w:pPr>
        <w:pStyle w:val="Heading1"/>
        <w:spacing w:after="120" w:before="360"/>
      </w:pPr>
      <w:r>
        <w:rPr>
          <w:rFonts w:ascii="Arial Black" w:cs="Arial Black" w:eastAsia="Arial Black" w:hAnsi="Arial Black"/>
          <w:b/>
          <w:bCs/>
          <w:color w:val="C0392B"/>
          <w:sz w:val="30"/>
          <w:szCs w:val="30"/>
        </w:rPr>
        <w:t xml:space="preserve">1. DECLARATION OF ORIGINAL OWNERSHIP</w:t>
      </w:r>
    </w:p>
    <w:p>
      <w:pPr>
        <w:spacing w:after="120"/>
        <w:jc w:val="left"/>
      </w:pPr>
      <w:r>
        <w:rPr>
          <w:rFonts w:ascii="Calibri" w:cs="Calibri" w:eastAsia="Calibri" w:hAnsi="Calibri"/>
          <w:b w:val="false"/>
          <w:bCs w:val="false"/>
          <w:i w:val="false"/>
          <w:iCs w:val="false"/>
          <w:color w:val="1A1A1A"/>
          <w:sz w:val="20"/>
          <w:szCs w:val="20"/>
        </w:rPr>
        <w:t xml:space="preserve">This document formally declares that the browser-based game application titled Iron Ring: Ultimate Edition (hereinafter "the Application") is an entirely original creative work independently conceived, designed, and developed by:</w:t>
      </w:r>
    </w:p>
    <w:p>
      <w:pPr>
        <w:spacing w:after="120" w:before="120"/>
      </w:pPr>
      <w:r>
        <w:rPr>
          <w:rFonts w:ascii="Calibri" w:cs="Calibri" w:eastAsia="Calibri" w:hAnsi="Calibri"/>
          <w:b/>
          <w:bCs/>
          <w:color w:val="C0392B"/>
          <w:sz w:val="24"/>
          <w:szCs w:val="24"/>
        </w:rPr>
        <w:t xml:space="preserve">Dr Manas Swain, MBBS, Grad MHP, MS in Human Services</w:t>
      </w:r>
    </w:p>
    <w:p>
      <w:pPr>
        <w:spacing w:after="120"/>
        <w:jc w:val="left"/>
      </w:pPr>
      <w:r>
        <w:rPr>
          <w:rFonts w:ascii="Calibri" w:cs="Calibri" w:eastAsia="Calibri" w:hAnsi="Calibri"/>
          <w:b w:val="false"/>
          <w:bCs w:val="false"/>
          <w:i w:val="false"/>
          <w:iCs w:val="false"/>
          <w:color w:val="1A1A1A"/>
          <w:sz w:val="20"/>
          <w:szCs w:val="20"/>
        </w:rPr>
        <w:t xml:space="preserve">Entrepreneur, Founder &amp; Owner — Aussi-Nexus Group (ABN 76 947 108 181), Shailer Park, Queensland, Australia.</w:t>
      </w:r>
    </w:p>
    <w:p>
      <w:pPr>
        <w:spacing w:after="120"/>
        <w:jc w:val="left"/>
      </w:pPr>
      <w:r>
        <w:rPr>
          <w:rFonts w:ascii="Calibri" w:cs="Calibri" w:eastAsia="Calibri" w:hAnsi="Calibri"/>
          <w:b w:val="false"/>
          <w:bCs w:val="false"/>
          <w:i w:val="false"/>
          <w:iCs w:val="false"/>
          <w:color w:val="1A1A1A"/>
          <w:sz w:val="20"/>
          <w:szCs w:val="20"/>
        </w:rPr>
        <w:t xml:space="preserve">The Application, including all characters, names, game systems, mechanics, narratives, and code, is wholly original fictional intellectual property created exclusively by Dr Manas Swain. No third-party trademarks, registered characters, or licensed IP from any external entity are incorporated into this Application.</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2. ORIGINAL FICTIONAL UNIVERSE</w:t>
      </w:r>
    </w:p>
    <w:p>
      <w:pPr>
        <w:spacing w:after="120"/>
        <w:jc w:val="left"/>
      </w:pPr>
      <w:r>
        <w:rPr>
          <w:rFonts w:ascii="Calibri" w:cs="Calibri" w:eastAsia="Calibri" w:hAnsi="Calibri"/>
          <w:b w:val="false"/>
          <w:bCs w:val="false"/>
          <w:i w:val="false"/>
          <w:iCs w:val="false"/>
          <w:color w:val="1A1A1A"/>
          <w:sz w:val="20"/>
          <w:szCs w:val="20"/>
        </w:rPr>
        <w:t xml:space="preserve">Iron Ring: Ultimate Edition is set in an entirely fictional combat sports universe. All of the following are original creations with no affiliation to any real-world sports entertainment organisation:</w:t>
      </w:r>
    </w:p>
    <w:p>
      <w:pPr>
        <w:spacing w:after="80"/>
        <w:ind w:left="360"/>
      </w:pPr>
      <w:r>
        <w:rPr>
          <w:rFonts w:ascii="Calibri" w:cs="Calibri" w:eastAsia="Calibri" w:hAnsi="Calibri"/>
          <w:color w:val="1A1A1A"/>
          <w:sz w:val="20"/>
          <w:szCs w:val="20"/>
        </w:rPr>
        <w:t xml:space="preserve">• Iron Ring — the fictional promotion (not affiliated with any real wrestling organisation)</w:t>
      </w:r>
    </w:p>
    <w:p>
      <w:pPr>
        <w:spacing w:after="80"/>
        <w:ind w:left="360"/>
      </w:pPr>
      <w:r>
        <w:rPr>
          <w:rFonts w:ascii="Calibri" w:cs="Calibri" w:eastAsia="Calibri" w:hAnsi="Calibri"/>
          <w:color w:val="1A1A1A"/>
          <w:sz w:val="20"/>
          <w:szCs w:val="20"/>
        </w:rPr>
        <w:t xml:space="preserve">• All fighter names: Rex 'The Viper' Malone, Viktor 'The Phantom' Kross, Darius 'The King' Stone, Marco 'The Heartbreaker' Cruz, Blaze 'Inferno' Redd, Cody 'The Maniac' Foxx (Men's Division)</w:t>
      </w:r>
    </w:p>
    <w:p>
      <w:pPr>
        <w:spacing w:after="80"/>
        <w:ind w:left="360"/>
      </w:pPr>
      <w:r>
        <w:rPr>
          <w:rFonts w:ascii="Calibri" w:cs="Calibri" w:eastAsia="Calibri" w:hAnsi="Calibri"/>
          <w:color w:val="1A1A1A"/>
          <w:sz w:val="20"/>
          <w:szCs w:val="20"/>
        </w:rPr>
        <w:t xml:space="preserve">• All women fighters: Jade 'Titaness' Power, Tricia 'Blaze' Voss, Luna 'Altitude' Reeves, Serena 'Venom' Vale, Zara 'Tempest' Quinn (Women's Division)</w:t>
      </w:r>
    </w:p>
    <w:p>
      <w:pPr>
        <w:spacing w:after="80"/>
        <w:ind w:left="360"/>
      </w:pPr>
      <w:r>
        <w:rPr>
          <w:rFonts w:ascii="Calibri" w:cs="Calibri" w:eastAsia="Calibri" w:hAnsi="Calibri"/>
          <w:color w:val="1A1A1A"/>
          <w:sz w:val="20"/>
          <w:szCs w:val="20"/>
        </w:rPr>
        <w:t xml:space="preserve">• All arena names: Iron Ring Monday Night, The Grand Slam, Summer Brawl, The Iron Gauntlet, The Steel Tomb, Night of Dominion</w:t>
      </w:r>
    </w:p>
    <w:p>
      <w:pPr>
        <w:spacing w:after="80"/>
        <w:ind w:left="360"/>
      </w:pPr>
      <w:r>
        <w:rPr>
          <w:rFonts w:ascii="Calibri" w:cs="Calibri" w:eastAsia="Calibri" w:hAnsi="Calibri"/>
          <w:color w:val="1A1A1A"/>
          <w:sz w:val="20"/>
          <w:szCs w:val="20"/>
        </w:rPr>
        <w:t xml:space="preserve">• All finisher and signature move names: Viper Strike, Phantom Driver, Stone Crusher, Sweet Superkick, Inferno Driver, Mandible Spike, Titan Driver, Blazebreaker, Altitude Moonsault, Venom Bomb, Tempest DDT</w:t>
      </w:r>
    </w:p>
    <w:p>
      <w:pPr>
        <w:spacing w:after="80"/>
        <w:ind w:left="360"/>
      </w:pPr>
      <w:r>
        <w:rPr>
          <w:rFonts w:ascii="Calibri" w:cs="Calibri" w:eastAsia="Calibri" w:hAnsi="Calibri"/>
          <w:color w:val="1A1A1A"/>
          <w:sz w:val="20"/>
          <w:szCs w:val="20"/>
        </w:rPr>
        <w:t xml:space="preserve">• The tournament format: Steel Cage Champions</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3. PROTECTED ORIGINAL INTELLECTUAL PROPERTY</w:t>
      </w:r>
    </w:p>
    <w:p>
      <w:pPr>
        <w:spacing w:after="120"/>
        <w:jc w:val="left"/>
      </w:pPr>
      <w:r>
        <w:rPr>
          <w:rFonts w:ascii="Calibri" w:cs="Calibri" w:eastAsia="Calibri" w:hAnsi="Calibri"/>
          <w:b w:val="false"/>
          <w:bCs w:val="false"/>
          <w:i w:val="false"/>
          <w:iCs w:val="false"/>
          <w:color w:val="1A1A1A"/>
          <w:sz w:val="20"/>
          <w:szCs w:val="20"/>
        </w:rPr>
        <w:t xml:space="preserve">The following elements constitute the original protectable expression of Dr Manas Swain and are protected under the Copyright Act 1968 (Cth) and applicable international copyright conventions:</w:t>
      </w:r>
    </w:p>
    <w:p>
      <w:pPr>
        <w:spacing w:after="80"/>
        <w:ind w:left="360"/>
      </w:pPr>
      <w:r>
        <w:rPr>
          <w:rFonts w:ascii="Calibri" w:cs="Calibri" w:eastAsia="Calibri" w:hAnsi="Calibri"/>
          <w:color w:val="1A1A1A"/>
          <w:sz w:val="20"/>
          <w:szCs w:val="20"/>
        </w:rPr>
        <w:t xml:space="preserve">• All source code — React JSX, game logic, state management architecture</w:t>
      </w:r>
    </w:p>
    <w:p>
      <w:pPr>
        <w:spacing w:after="80"/>
        <w:ind w:left="360"/>
      </w:pPr>
      <w:r>
        <w:rPr>
          <w:rFonts w:ascii="Calibri" w:cs="Calibri" w:eastAsia="Calibri" w:hAnsi="Calibri"/>
          <w:color w:val="1A1A1A"/>
          <w:sz w:val="20"/>
          <w:szCs w:val="20"/>
        </w:rPr>
        <w:t xml:space="preserve">• The momentum and finisher gameplay system with build-up mechanics</w:t>
      </w:r>
    </w:p>
    <w:p>
      <w:pPr>
        <w:spacing w:after="80"/>
        <w:ind w:left="360"/>
      </w:pPr>
      <w:r>
        <w:rPr>
          <w:rFonts w:ascii="Calibri" w:cs="Calibri" w:eastAsia="Calibri" w:hAnsi="Calibri"/>
          <w:color w:val="1A1A1A"/>
          <w:sz w:val="20"/>
          <w:szCs w:val="20"/>
        </w:rPr>
        <w:t xml:space="preserve">• The in-game economy — coin earning rates, price tiers, unlock progression</w:t>
      </w:r>
    </w:p>
    <w:p>
      <w:pPr>
        <w:spacing w:after="80"/>
        <w:ind w:left="360"/>
      </w:pPr>
      <w:r>
        <w:rPr>
          <w:rFonts w:ascii="Calibri" w:cs="Calibri" w:eastAsia="Calibri" w:hAnsi="Calibri"/>
          <w:color w:val="1A1A1A"/>
          <w:sz w:val="20"/>
          <w:szCs w:val="20"/>
        </w:rPr>
        <w:t xml:space="preserve">• Career Mode structure — 8-level progression system from Jobber to Immortal</w:t>
      </w:r>
    </w:p>
    <w:p>
      <w:pPr>
        <w:spacing w:after="80"/>
        <w:ind w:left="360"/>
      </w:pPr>
      <w:r>
        <w:rPr>
          <w:rFonts w:ascii="Calibri" w:cs="Calibri" w:eastAsia="Calibri" w:hAnsi="Calibri"/>
          <w:color w:val="1A1A1A"/>
          <w:sz w:val="20"/>
          <w:szCs w:val="20"/>
        </w:rPr>
        <w:t xml:space="preserve">• Difficulty scaling algorithm — Rookie, Contender, Champion, Legend with AI aggression scaling</w:t>
      </w:r>
    </w:p>
    <w:p>
      <w:pPr>
        <w:spacing w:after="80"/>
        <w:ind w:left="360"/>
      </w:pPr>
      <w:r>
        <w:rPr>
          <w:rFonts w:ascii="Calibri" w:cs="Calibri" w:eastAsia="Calibri" w:hAnsi="Calibri"/>
          <w:color w:val="1A1A1A"/>
          <w:sz w:val="20"/>
          <w:szCs w:val="20"/>
        </w:rPr>
        <w:t xml:space="preserve">• Crowd reaction and chant simulation engine</w:t>
      </w:r>
    </w:p>
    <w:p>
      <w:pPr>
        <w:spacing w:after="80"/>
        <w:ind w:left="360"/>
      </w:pPr>
      <w:r>
        <w:rPr>
          <w:rFonts w:ascii="Calibri" w:cs="Calibri" w:eastAsia="Calibri" w:hAnsi="Calibri"/>
          <w:color w:val="1A1A1A"/>
          <w:sz w:val="20"/>
          <w:szCs w:val="20"/>
        </w:rPr>
        <w:t xml:space="preserve">• Match timer and sudden death escalation system</w:t>
      </w:r>
    </w:p>
    <w:p>
      <w:pPr>
        <w:spacing w:after="80"/>
        <w:ind w:left="360"/>
      </w:pPr>
      <w:r>
        <w:rPr>
          <w:rFonts w:ascii="Calibri" w:cs="Calibri" w:eastAsia="Calibri" w:hAnsi="Calibri"/>
          <w:color w:val="1A1A1A"/>
          <w:sz w:val="20"/>
          <w:szCs w:val="20"/>
        </w:rPr>
        <w:t xml:space="preserve">• Arena selection system with crowd intensity multipliers and stat modifiers</w:t>
      </w:r>
    </w:p>
    <w:p>
      <w:pPr>
        <w:spacing w:after="80"/>
        <w:ind w:left="360"/>
      </w:pPr>
      <w:r>
        <w:rPr>
          <w:rFonts w:ascii="Calibri" w:cs="Calibri" w:eastAsia="Calibri" w:hAnsi="Calibri"/>
          <w:color w:val="1A1A1A"/>
          <w:sz w:val="20"/>
          <w:szCs w:val="20"/>
        </w:rPr>
        <w:t xml:space="preserve">• All character stat frameworks (Power, Speed, Stamina, Technique, Charisma)</w:t>
      </w:r>
    </w:p>
    <w:p>
      <w:pPr>
        <w:spacing w:after="80"/>
        <w:ind w:left="360"/>
      </w:pPr>
      <w:r>
        <w:rPr>
          <w:rFonts w:ascii="Calibri" w:cs="Calibri" w:eastAsia="Calibri" w:hAnsi="Calibri"/>
          <w:color w:val="1A1A1A"/>
          <w:sz w:val="20"/>
          <w:szCs w:val="20"/>
        </w:rPr>
        <w:t xml:space="preserve">• Women's Division integration and dual-division roster management system</w:t>
      </w:r>
    </w:p>
    <w:p>
      <w:pPr>
        <w:spacing w:after="80"/>
        <w:ind w:left="360"/>
      </w:pPr>
      <w:r>
        <w:rPr>
          <w:rFonts w:ascii="Calibri" w:cs="Calibri" w:eastAsia="Calibri" w:hAnsi="Calibri"/>
          <w:color w:val="1A1A1A"/>
          <w:sz w:val="20"/>
          <w:szCs w:val="20"/>
        </w:rPr>
        <w:t xml:space="preserve">• All user interface design, visual layout, colour schemes, and typographic treatment</w:t>
      </w:r>
    </w:p>
    <w:p>
      <w:pPr>
        <w:spacing w:after="80"/>
        <w:ind w:left="360"/>
      </w:pPr>
      <w:r>
        <w:rPr>
          <w:rFonts w:ascii="Calibri" w:cs="Calibri" w:eastAsia="Calibri" w:hAnsi="Calibri"/>
          <w:color w:val="1A1A1A"/>
          <w:sz w:val="20"/>
          <w:szCs w:val="20"/>
        </w:rPr>
        <w:t xml:space="preserve">• Tournament bracket system and Career Mode narrative progression</w:t>
      </w:r>
    </w:p>
    <w:p>
      <w:pPr>
        <w:spacing w:after="80"/>
        <w:ind w:left="360"/>
      </w:pPr>
      <w:r>
        <w:rPr>
          <w:rFonts w:ascii="Calibri" w:cs="Calibri" w:eastAsia="Calibri" w:hAnsi="Calibri"/>
          <w:color w:val="1A1A1A"/>
          <w:sz w:val="20"/>
          <w:szCs w:val="20"/>
        </w:rPr>
        <w:t xml:space="preserve">• Combo tracking system and AI counter-attack probability engine</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4. NO THIRD-PARTY IP INCORPORATED</w:t>
      </w:r>
    </w:p>
    <w:p>
      <w:pPr>
        <w:spacing w:after="120"/>
        <w:jc w:val="left"/>
      </w:pPr>
      <w:r>
        <w:rPr>
          <w:rFonts w:ascii="Calibri" w:cs="Calibri" w:eastAsia="Calibri" w:hAnsi="Calibri"/>
          <w:b w:val="false"/>
          <w:bCs w:val="false"/>
          <w:i w:val="false"/>
          <w:iCs w:val="false"/>
          <w:color w:val="1A1A1A"/>
          <w:sz w:val="20"/>
          <w:szCs w:val="20"/>
        </w:rPr>
        <w:t xml:space="preserve">The developer expressly confirms that Iron Ring: Ultimate Edition does not incorporate, reproduce, or reference any trademarks, registered characters, event names, or intellectual property belonging to World Wrestling Entertainment, Inc. (WWE), World Wrestling Federation (WWF), All Elite Wrestling (AEW), or any other real-world sports entertainment entity.</w:t>
      </w:r>
    </w:p>
    <w:p>
      <w:pPr>
        <w:spacing w:after="120"/>
        <w:jc w:val="left"/>
      </w:pPr>
      <w:r>
        <w:rPr>
          <w:rFonts w:ascii="Calibri" w:cs="Calibri" w:eastAsia="Calibri" w:hAnsi="Calibri"/>
          <w:b w:val="false"/>
          <w:bCs w:val="false"/>
          <w:i w:val="false"/>
          <w:iCs w:val="false"/>
          <w:color w:val="1A1A1A"/>
          <w:sz w:val="20"/>
          <w:szCs w:val="20"/>
        </w:rPr>
        <w:t xml:space="preserve">Any superficial similarity to real-world wrestling concepts reflects the genre conventions of combat sports entertainment — a genre that is not itself protectable — and not any deliberate reproduction of protected IP.</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5. DISCLAIMER OF WARRANTIES</w:t>
      </w:r>
    </w:p>
    <w:p>
      <w:pPr>
        <w:spacing w:after="120"/>
        <w:jc w:val="left"/>
      </w:pPr>
      <w:r>
        <w:rPr>
          <w:rFonts w:ascii="Calibri" w:cs="Calibri" w:eastAsia="Calibri" w:hAnsi="Calibri"/>
          <w:b w:val="false"/>
          <w:bCs w:val="false"/>
          <w:i w:val="false"/>
          <w:iCs w:val="false"/>
          <w:color w:val="1A1A1A"/>
          <w:sz w:val="20"/>
          <w:szCs w:val="20"/>
        </w:rPr>
        <w:t xml:space="preserve">The Application is offered as a commercial software product on an as-is basis. Aussi-Nexus Group makes no warranty as to uninterrupted operation, fitness for a specific commercial purpose beyond that described in any executed sale agreement, or compatibility with all platforms or devices.</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6. LIMITATION OF LIABILITY</w:t>
      </w:r>
    </w:p>
    <w:p>
      <w:pPr>
        <w:spacing w:after="120"/>
        <w:jc w:val="left"/>
      </w:pPr>
      <w:r>
        <w:rPr>
          <w:rFonts w:ascii="Calibri" w:cs="Calibri" w:eastAsia="Calibri" w:hAnsi="Calibri"/>
          <w:b w:val="false"/>
          <w:bCs w:val="false"/>
          <w:i w:val="false"/>
          <w:iCs w:val="false"/>
          <w:color w:val="1A1A1A"/>
          <w:sz w:val="20"/>
          <w:szCs w:val="20"/>
        </w:rPr>
        <w:t xml:space="preserve">To the fullest extent permitted by Australian consumer law, Aussi-Nexus Group and Dr Manas Swain shall not be liable for indirect, incidental, special, or consequential damages arising from unauthorised modification, redistribution, or commercial exploitation of this Application in breach of any sale or licensing agreement.</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7. GOVERNING LAW &amp; JURISDICTION</w:t>
      </w:r>
    </w:p>
    <w:p>
      <w:pPr>
        <w:spacing w:after="120"/>
        <w:jc w:val="left"/>
      </w:pPr>
      <w:r>
        <w:rPr>
          <w:rFonts w:ascii="Calibri" w:cs="Calibri" w:eastAsia="Calibri" w:hAnsi="Calibri"/>
          <w:b w:val="false"/>
          <w:bCs w:val="false"/>
          <w:i w:val="false"/>
          <w:iCs w:val="false"/>
          <w:color w:val="1A1A1A"/>
          <w:sz w:val="20"/>
          <w:szCs w:val="20"/>
        </w:rPr>
        <w:t xml:space="preserve">This declaration and any disputes arising from the ownership, sale, or licensing of this Application shall be governed by the laws of Queensland, Australia. Legal proceedings shall be conducted exclusively in Queensland courts.</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0"/>
          <w:szCs w:val="30"/>
        </w:rPr>
        <w:t xml:space="preserve">8. CONTACT FOR LICENSING ENQUIRIES</w:t>
      </w:r>
    </w:p>
    <w:p>
      <w:pPr>
        <w:spacing w:after="120"/>
        <w:jc w:val="left"/>
      </w:pPr>
      <w:r>
        <w:rPr>
          <w:rFonts w:ascii="Calibri" w:cs="Calibri" w:eastAsia="Calibri" w:hAnsi="Calibri"/>
          <w:b w:val="false"/>
          <w:bCs w:val="false"/>
          <w:i w:val="false"/>
          <w:iCs w:val="false"/>
          <w:color w:val="1A1A1A"/>
          <w:sz w:val="20"/>
          <w:szCs w:val="20"/>
        </w:rPr>
        <w:t xml:space="preserve">All licensing, acquisition, and commercial enquiries should be directed to:</w:t>
      </w:r>
    </w:p>
    <w:p>
      <w:pPr>
        <w:spacing w:after="60" w:before="120"/>
      </w:pPr>
      <w:r>
        <w:rPr>
          <w:rFonts w:ascii="Calibri" w:cs="Calibri" w:eastAsia="Calibri" w:hAnsi="Calibri"/>
          <w:b/>
          <w:bCs/>
          <w:color w:val="C0392B"/>
          <w:sz w:val="20"/>
          <w:szCs w:val="20"/>
        </w:rPr>
        <w:t xml:space="preserve">Dr Manas Swain — Aussi-Nexus Group</w:t>
      </w:r>
    </w:p>
    <w:p>
      <w:pPr>
        <w:spacing w:after="120"/>
        <w:jc w:val="left"/>
      </w:pPr>
      <w:r>
        <w:rPr>
          <w:rFonts w:ascii="Calibri" w:cs="Calibri" w:eastAsia="Calibri" w:hAnsi="Calibri"/>
          <w:b w:val="false"/>
          <w:bCs w:val="false"/>
          <w:i w:val="false"/>
          <w:iCs w:val="false"/>
          <w:color w:val="1A1A1A"/>
          <w:sz w:val="20"/>
          <w:szCs w:val="20"/>
        </w:rPr>
        <w:t xml:space="preserve">ABN 76 947 108 181 | Shailer Park, Queensland, Australia</w:t>
      </w:r>
    </w:p>
    <w:p>
      <w:r>
        <w:br w:type="page"/>
      </w:r>
    </w:p>
    <w:p>
      <w:pPr>
        <w:spacing w:after="120"/>
        <w:jc w:val="left"/>
      </w:pPr>
      <w:r>
        <w:rPr>
          <w:rFonts w:ascii="Calibri" w:cs="Calibri" w:eastAsia="Calibri" w:hAnsi="Calibri"/>
          <w:b w:val="false"/>
          <w:bCs w:val="false"/>
          <w:i w:val="false"/>
          <w:iCs w:val="false"/>
          <w:color w:val="666666"/>
          <w:sz w:val="20"/>
          <w:szCs w:val="20"/>
        </w:rPr>
        <w:t xml:space="preserve">AUTHORISED SIGNATURE</w:t>
      </w:r>
    </w:p>
    <w:p>
      <w:pPr>
        <w:pBdr>
          <w:bottom w:val="single" w:color="1A1A1A" w:sz="4"/>
        </w:pBdr>
        <w:spacing w:after="80" w:before="500"/>
      </w:pPr>
      <w:r>
        <w:rPr>
          <w:sz w:val="20"/>
          <w:szCs w:val="20"/>
        </w:rPr>
        <w:t xml:space="preserve"> </w:t>
      </w:r>
    </w:p>
    <w:p>
      <w:pPr>
        <w:spacing w:after="120"/>
        <w:jc w:val="left"/>
      </w:pPr>
      <w:r>
        <w:rPr>
          <w:rFonts w:ascii="Calibri" w:cs="Calibri" w:eastAsia="Calibri" w:hAnsi="Calibri"/>
          <w:b w:val="false"/>
          <w:bCs w:val="false"/>
          <w:i w:val="false"/>
          <w:iCs w:val="false"/>
          <w:color w:val="1A1A1A"/>
          <w:sz w:val="20"/>
          <w:szCs w:val="20"/>
        </w:rPr>
        <w:t xml:space="preserve">Dr Manas Swain, MBBS, Grad MHP, MS in Human Services</w:t>
      </w:r>
    </w:p>
    <w:p>
      <w:pPr>
        <w:spacing w:after="120"/>
        <w:jc w:val="left"/>
      </w:pPr>
      <w:r>
        <w:rPr>
          <w:rFonts w:ascii="Calibri" w:cs="Calibri" w:eastAsia="Calibri" w:hAnsi="Calibri"/>
          <w:b w:val="false"/>
          <w:bCs w:val="false"/>
          <w:i w:val="false"/>
          <w:iCs w:val="false"/>
          <w:color w:val="1A1A1A"/>
          <w:sz w:val="20"/>
          <w:szCs w:val="20"/>
        </w:rPr>
        <w:t xml:space="preserve">Founder &amp; Owner — Aussi-Nexus Group</w:t>
      </w:r>
    </w:p>
    <w:p>
      <w:pPr>
        <w:spacing w:after="120"/>
        <w:jc w:val="left"/>
      </w:pPr>
      <w:r>
        <w:rPr>
          <w:rFonts w:ascii="Calibri" w:cs="Calibri" w:eastAsia="Calibri" w:hAnsi="Calibri"/>
          <w:b w:val="false"/>
          <w:bCs w:val="false"/>
          <w:i w:val="false"/>
          <w:iCs w:val="false"/>
          <w:color w:val="1A1A1A"/>
          <w:sz w:val="20"/>
          <w:szCs w:val="20"/>
        </w:rPr>
        <w:t xml:space="preserve">Date: 7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2026-08-07T23:34:59.481Z</dcterms:created>
  <dcterms:modified xsi:type="dcterms:W3CDTF">2026-08-07T23:34:59.482Z</dcterms:modified>
</cp:coreProperties>
</file>

<file path=docProps/custom.xml><?xml version="1.0" encoding="utf-8"?>
<Properties xmlns="http://schemas.openxmlformats.org/officeDocument/2006/custom-properties" xmlns:vt="http://schemas.openxmlformats.org/officeDocument/2006/docPropsVTypes"/>
</file>