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Black" w:cs="Arial Black" w:eastAsia="Arial Black" w:hAnsi="Arial Black"/>
          <w:b/>
          <w:bCs/>
          <w:color w:val="C0392B"/>
          <w:sz w:val="48"/>
          <w:szCs w:val="48"/>
        </w:rPr>
        <w:t xml:space="preserve">AUSSI-NEXUS GROUP</w:t>
      </w:r>
    </w:p>
    <w:p>
      <w:pPr>
        <w:spacing w:after="80"/>
        <w:jc w:val="center"/>
      </w:pPr>
      <w:r>
        <w:rPr>
          <w:rFonts w:ascii="Calibri" w:cs="Calibri" w:eastAsia="Calibri" w:hAnsi="Calibri"/>
          <w:color w:val="555555"/>
          <w:sz w:val="20"/>
          <w:szCs w:val="20"/>
        </w:rPr>
        <w:t xml:space="preserve">ABN 76 947 108 181</w:t>
      </w:r>
    </w:p>
    <w:p>
      <w:pPr>
        <w:spacing w:after="300"/>
        <w:jc w:val="center"/>
      </w:pPr>
      <w:r>
        <w:rPr>
          <w:rFonts w:ascii="Calibri" w:cs="Calibri" w:eastAsia="Calibri" w:hAnsi="Calibri"/>
          <w:color w:val="555555"/>
          <w:sz w:val="18"/>
          <w:szCs w:val="18"/>
        </w:rPr>
        <w:t xml:space="preserve">Shailer Park, Queensland, Australia  |  contact@aussi-nexus.com.au</w:t>
      </w:r>
    </w:p>
    <w:p>
      <w:pPr>
        <w:pBdr>
          <w:bottom w:val="single" w:color="C0392B" w:sz="6"/>
        </w:pBdr>
        <w:spacing w:after="240"/>
      </w:pPr>
    </w:p>
    <w:p>
      <w:pPr>
        <w:spacing w:after="100" w:before="200"/>
        <w:jc w:val="center"/>
      </w:pPr>
      <w:r>
        <w:rPr>
          <w:rFonts w:ascii="Arial Black" w:cs="Arial Black" w:eastAsia="Arial Black" w:hAnsi="Arial Black"/>
          <w:b/>
          <w:bCs/>
          <w:color w:val="C0392B"/>
          <w:sz w:val="36"/>
          <w:szCs w:val="36"/>
        </w:rPr>
        <w:t xml:space="preserve">COPYRIGHT &amp; INTELLECTUAL PROPERTY DISCLAIMER</w:t>
      </w:r>
    </w:p>
    <w:p>
      <w:pPr>
        <w:spacing w:after="40"/>
        <w:jc w:val="center"/>
      </w:pPr>
      <w:r>
        <w:rPr>
          <w:rFonts w:ascii="Calibri" w:cs="Calibri" w:eastAsia="Calibri" w:hAnsi="Calibri"/>
          <w:b/>
          <w:bCs/>
          <w:color w:val="1A1A1A"/>
          <w:sz w:val="22"/>
          <w:szCs w:val="22"/>
        </w:rPr>
        <w:t xml:space="preserve">WWF RAW ULTIMATE EDITION — BROWSER-BASED GAME APPLICATION</w:t>
      </w:r>
    </w:p>
    <w:p>
      <w:pPr>
        <w:spacing w:after="360"/>
        <w:jc w:val="center"/>
      </w:pPr>
      <w:r>
        <w:rPr>
          <w:rFonts w:ascii="Calibri" w:cs="Calibri" w:eastAsia="Calibri" w:hAnsi="Calibri"/>
          <w:i/>
          <w:iCs/>
          <w:color w:val="555555"/>
          <w:sz w:val="18"/>
          <w:szCs w:val="18"/>
        </w:rPr>
        <w:t xml:space="preserve">Document Date: 7 August 2026</w:t>
      </w:r>
    </w:p>
    <w:p>
      <w:pPr>
        <w:pStyle w:val="Heading1"/>
        <w:spacing w:after="120" w:before="360"/>
      </w:pPr>
      <w:r>
        <w:rPr>
          <w:rFonts w:ascii="Arial Black" w:cs="Arial Black" w:eastAsia="Arial Black" w:hAnsi="Arial Black"/>
          <w:b/>
          <w:bCs/>
          <w:color w:val="C0392B"/>
          <w:sz w:val="32"/>
          <w:szCs w:val="32"/>
        </w:rPr>
        <w:t xml:space="preserve">1. OWNERSHIP OF ORIGINAL WORK</w:t>
      </w:r>
    </w:p>
    <w:p>
      <w:pPr>
        <w:spacing w:after="120"/>
        <w:jc w:val="left"/>
      </w:pPr>
      <w:r>
        <w:rPr>
          <w:rFonts w:ascii="Calibri" w:cs="Calibri" w:eastAsia="Calibri" w:hAnsi="Calibri"/>
          <w:b w:val="false"/>
          <w:bCs w:val="false"/>
          <w:i w:val="false"/>
          <w:iCs w:val="false"/>
          <w:color w:val="1A1A1A"/>
          <w:sz w:val="20"/>
          <w:szCs w:val="20"/>
        </w:rPr>
        <w:t xml:space="preserve">This document confirms that the browser-based game application titled WWF Raw Ultimate Edition (hereinafter "the Application") was independently conceived, designed, and developed by:</w:t>
      </w:r>
    </w:p>
    <w:p>
      <w:pPr>
        <w:spacing w:after="120" w:before="120"/>
      </w:pPr>
      <w:r>
        <w:rPr>
          <w:rFonts w:ascii="Calibri" w:cs="Calibri" w:eastAsia="Calibri" w:hAnsi="Calibri"/>
          <w:b/>
          <w:bCs/>
          <w:color w:val="C0392B"/>
          <w:sz w:val="22"/>
          <w:szCs w:val="22"/>
        </w:rPr>
        <w:t xml:space="preserve">Dr Manas Swain, MBBS, Grad MHP, MS in Human Services</w:t>
      </w:r>
    </w:p>
    <w:p>
      <w:pPr>
        <w:spacing w:after="120"/>
        <w:jc w:val="left"/>
      </w:pPr>
      <w:r>
        <w:rPr>
          <w:rFonts w:ascii="Calibri" w:cs="Calibri" w:eastAsia="Calibri" w:hAnsi="Calibri"/>
          <w:b w:val="false"/>
          <w:bCs w:val="false"/>
          <w:i w:val="false"/>
          <w:iCs w:val="false"/>
          <w:color w:val="1A1A1A"/>
          <w:sz w:val="20"/>
          <w:szCs w:val="20"/>
        </w:rPr>
        <w:t xml:space="preserve">Entrepreneur, Founder &amp; Owner, Aussi-Nexus Group (ABN 76 947 108 181), Shailer Park, Queensland, Australia.</w:t>
      </w:r>
    </w:p>
    <w:p>
      <w:pPr>
        <w:spacing w:after="120"/>
        <w:jc w:val="left"/>
      </w:pPr>
      <w:r>
        <w:rPr>
          <w:rFonts w:ascii="Calibri" w:cs="Calibri" w:eastAsia="Calibri" w:hAnsi="Calibri"/>
          <w:b w:val="false"/>
          <w:bCs w:val="false"/>
          <w:i w:val="false"/>
          <w:iCs w:val="false"/>
          <w:color w:val="1A1A1A"/>
          <w:sz w:val="20"/>
          <w:szCs w:val="20"/>
        </w:rPr>
        <w:t xml:space="preserve">The Application constitutes an original creative work comprising game architecture, game mechanics, user interface design, gameplay logic, economic systems (in-game currency, shop, unlock mechanics), narrative structure (career progression, tournament bracket), and all associated code. This original work is the sole intellectual property of Dr Manas Swain and Aussi-Nexus Group.</w:t>
      </w:r>
    </w:p>
    <w:p>
      <w:pPr>
        <w:pBdr>
          <w:bottom w:val="single" w:color="C0392B" w:sz="6"/>
        </w:pBdr>
        <w:spacing w:after="240"/>
      </w:pPr>
    </w:p>
    <w:p>
      <w:pPr>
        <w:pStyle w:val="Heading1"/>
        <w:spacing w:after="120" w:before="360"/>
      </w:pPr>
      <w:r>
        <w:rPr>
          <w:rFonts w:ascii="Arial Black" w:cs="Arial Black" w:eastAsia="Arial Black" w:hAnsi="Arial Black"/>
          <w:b/>
          <w:bCs/>
          <w:color w:val="C0392B"/>
          <w:sz w:val="32"/>
          <w:szCs w:val="32"/>
        </w:rPr>
        <w:t xml:space="preserve">2. THIRD-PARTY INTELLECTUAL PROPERTY NOTICE</w:t>
      </w:r>
    </w:p>
    <w:p>
      <w:pPr>
        <w:spacing w:after="120"/>
        <w:jc w:val="left"/>
      </w:pPr>
      <w:r>
        <w:rPr>
          <w:rFonts w:ascii="Calibri" w:cs="Calibri" w:eastAsia="Calibri" w:hAnsi="Calibri"/>
          <w:b w:val="false"/>
          <w:bCs w:val="false"/>
          <w:i w:val="false"/>
          <w:iCs w:val="false"/>
          <w:color w:val="1A1A1A"/>
          <w:sz w:val="20"/>
          <w:szCs w:val="20"/>
        </w:rPr>
        <w:t xml:space="preserve">The Application makes reference to the following names, characters, and events which are registered trademarks and intellectual property of their respective owners:</w:t>
      </w:r>
    </w:p>
    <w:p>
      <w:pPr>
        <w:spacing w:after="80" w:before="120"/>
      </w:pPr>
      <w:r>
        <w:rPr>
          <w:rFonts w:ascii="Calibri" w:cs="Calibri" w:eastAsia="Calibri" w:hAnsi="Calibri"/>
          <w:b/>
          <w:bCs/>
          <w:color w:val="1A1A1A"/>
          <w:sz w:val="20"/>
          <w:szCs w:val="20"/>
        </w:rPr>
        <w:t xml:space="preserve">World Wrestling Federation (WWF) / WWE:</w:t>
      </w:r>
      <w:r>
        <w:rPr>
          <w:rFonts w:ascii="Calibri" w:cs="Calibri" w:eastAsia="Calibri" w:hAnsi="Calibri"/>
          <w:color w:val="1A1A1A"/>
          <w:sz w:val="20"/>
          <w:szCs w:val="20"/>
        </w:rPr>
        <w:t xml:space="preserve"> The name "WWF Raw", event names (WrestleMania, SummerSlam, Royal Rumble, Hell in a Cell, Survivor Series, King of the Ring), and wrestler personas referenced within the Application are trademarks of World Wrestling Entertainment, Inc. (WWE). WWE is not affiliated with, does not endorse, and has not authorised this Application.</w:t>
      </w:r>
    </w:p>
    <w:p>
      <w:pPr>
        <w:spacing w:after="80"/>
      </w:pPr>
      <w:r>
        <w:rPr>
          <w:rFonts w:ascii="Calibri" w:cs="Calibri" w:eastAsia="Calibri" w:hAnsi="Calibri"/>
          <w:b/>
          <w:bCs/>
          <w:color w:val="1A1A1A"/>
          <w:sz w:val="20"/>
          <w:szCs w:val="20"/>
        </w:rPr>
        <w:t xml:space="preserve">Wrestler Personas:</w:t>
      </w:r>
      <w:r>
        <w:rPr>
          <w:rFonts w:ascii="Calibri" w:cs="Calibri" w:eastAsia="Calibri" w:hAnsi="Calibri"/>
          <w:color w:val="1A1A1A"/>
          <w:sz w:val="20"/>
          <w:szCs w:val="20"/>
        </w:rPr>
        <w:t xml:space="preserve"> References to wrestling personas including but not limited to Stone Cold Steve Austin, The Undertaker, The Rock, Shawn Michaels, Kane, Mankind, Chyna, Trish Stratus, Lita, Sable, and Torrie Wilson are used for entertainment and fan-tribute purposes. All persona rights belong to their respective rights holders.</w:t>
      </w:r>
    </w:p>
    <w:p>
      <w:pPr>
        <w:spacing w:after="120"/>
        <w:jc w:val="left"/>
      </w:pPr>
      <w:r>
        <w:rPr>
          <w:rFonts w:ascii="Calibri" w:cs="Calibri" w:eastAsia="Calibri" w:hAnsi="Calibri"/>
          <w:b w:val="false"/>
          <w:bCs w:val="false"/>
          <w:i w:val="false"/>
          <w:iCs w:val="false"/>
          <w:color w:val="1A1A1A"/>
          <w:sz w:val="20"/>
          <w:szCs w:val="20"/>
        </w:rPr>
        <w:t xml:space="preserve">This Application is developed as an independent fan tribute and entertainment software product. It is not an official WWE product and makes no claim of affiliation, endorsement, or licensing by WWE or any of its subsidiaries.</w:t>
      </w:r>
    </w:p>
    <w:p>
      <w:pPr>
        <w:pBdr>
          <w:bottom w:val="single" w:color="C0392B" w:sz="6"/>
        </w:pBdr>
        <w:spacing w:after="240"/>
      </w:pPr>
    </w:p>
    <w:p>
      <w:pPr>
        <w:pStyle w:val="Heading1"/>
        <w:spacing w:after="120" w:before="360"/>
      </w:pPr>
      <w:r>
        <w:rPr>
          <w:rFonts w:ascii="Arial Black" w:cs="Arial Black" w:eastAsia="Arial Black" w:hAnsi="Arial Black"/>
          <w:b/>
          <w:bCs/>
          <w:color w:val="C0392B"/>
          <w:sz w:val="32"/>
          <w:szCs w:val="32"/>
        </w:rPr>
        <w:t xml:space="preserve">3. ORIGINAL CREATIVE ELEMENTS — PROTECTED IP</w:t>
      </w:r>
    </w:p>
    <w:p>
      <w:pPr>
        <w:spacing w:after="120"/>
        <w:jc w:val="left"/>
      </w:pPr>
      <w:r>
        <w:rPr>
          <w:rFonts w:ascii="Calibri" w:cs="Calibri" w:eastAsia="Calibri" w:hAnsi="Calibri"/>
          <w:b w:val="false"/>
          <w:bCs w:val="false"/>
          <w:i w:val="false"/>
          <w:iCs w:val="false"/>
          <w:color w:val="1A1A1A"/>
          <w:sz w:val="20"/>
          <w:szCs w:val="20"/>
        </w:rPr>
        <w:t xml:space="preserve">The following elements of the Application are wholly original and are protected under Australian copyright law (Copyright Act 1968 (Cth)) and applicable international conventions:</w:t>
      </w:r>
    </w:p>
    <w:p>
      <w:pPr>
        <w:spacing w:after="80"/>
        <w:ind w:left="360"/>
      </w:pPr>
      <w:r>
        <w:rPr>
          <w:rFonts w:ascii="Calibri" w:cs="Calibri" w:eastAsia="Calibri" w:hAnsi="Calibri"/>
          <w:color w:val="1A1A1A"/>
          <w:sz w:val="20"/>
          <w:szCs w:val="20"/>
        </w:rPr>
        <w:t xml:space="preserve">• The complete game engine architecture and all source code</w:t>
      </w:r>
    </w:p>
    <w:p>
      <w:pPr>
        <w:spacing w:after="80"/>
        <w:ind w:left="360"/>
      </w:pPr>
      <w:r>
        <w:rPr>
          <w:rFonts w:ascii="Calibri" w:cs="Calibri" w:eastAsia="Calibri" w:hAnsi="Calibri"/>
          <w:color w:val="1A1A1A"/>
          <w:sz w:val="20"/>
          <w:szCs w:val="20"/>
        </w:rPr>
        <w:t xml:space="preserve">• The game economy system including coin earning, pricing tiers, and unlock mechanics</w:t>
      </w:r>
    </w:p>
    <w:p>
      <w:pPr>
        <w:spacing w:after="80"/>
        <w:ind w:left="360"/>
      </w:pPr>
      <w:r>
        <w:rPr>
          <w:rFonts w:ascii="Calibri" w:cs="Calibri" w:eastAsia="Calibri" w:hAnsi="Calibri"/>
          <w:color w:val="1A1A1A"/>
          <w:sz w:val="20"/>
          <w:szCs w:val="20"/>
        </w:rPr>
        <w:t xml:space="preserve">• The momentum and finisher gameplay system</w:t>
      </w:r>
    </w:p>
    <w:p>
      <w:pPr>
        <w:spacing w:after="80"/>
        <w:ind w:left="360"/>
      </w:pPr>
      <w:r>
        <w:rPr>
          <w:rFonts w:ascii="Calibri" w:cs="Calibri" w:eastAsia="Calibri" w:hAnsi="Calibri"/>
          <w:color w:val="1A1A1A"/>
          <w:sz w:val="20"/>
          <w:szCs w:val="20"/>
        </w:rPr>
        <w:t xml:space="preserve">• The career progression structure (8-level Jobber to Immortal system)</w:t>
      </w:r>
    </w:p>
    <w:p>
      <w:pPr>
        <w:spacing w:after="80"/>
        <w:ind w:left="360"/>
      </w:pPr>
      <w:r>
        <w:rPr>
          <w:rFonts w:ascii="Calibri" w:cs="Calibri" w:eastAsia="Calibri" w:hAnsi="Calibri"/>
          <w:color w:val="1A1A1A"/>
          <w:sz w:val="20"/>
          <w:szCs w:val="20"/>
        </w:rPr>
        <w:t xml:space="preserve">• The difficulty scaling algorithm (Rookie, Contender, Champion, Legend)</w:t>
      </w:r>
    </w:p>
    <w:p>
      <w:pPr>
        <w:spacing w:after="80"/>
        <w:ind w:left="360"/>
      </w:pPr>
      <w:r>
        <w:rPr>
          <w:rFonts w:ascii="Calibri" w:cs="Calibri" w:eastAsia="Calibri" w:hAnsi="Calibri"/>
          <w:color w:val="1A1A1A"/>
          <w:sz w:val="20"/>
          <w:szCs w:val="20"/>
        </w:rPr>
        <w:t xml:space="preserve">• The crowd reaction and chant simulation system</w:t>
      </w:r>
    </w:p>
    <w:p>
      <w:pPr>
        <w:spacing w:after="80"/>
        <w:ind w:left="360"/>
      </w:pPr>
      <w:r>
        <w:rPr>
          <w:rFonts w:ascii="Calibri" w:cs="Calibri" w:eastAsia="Calibri" w:hAnsi="Calibri"/>
          <w:color w:val="1A1A1A"/>
          <w:sz w:val="20"/>
          <w:szCs w:val="20"/>
        </w:rPr>
        <w:t xml:space="preserve">• The match timer and sudden death mechanics</w:t>
      </w:r>
    </w:p>
    <w:p>
      <w:pPr>
        <w:spacing w:after="80"/>
        <w:ind w:left="360"/>
      </w:pPr>
      <w:r>
        <w:rPr>
          <w:rFonts w:ascii="Calibri" w:cs="Calibri" w:eastAsia="Calibri" w:hAnsi="Calibri"/>
          <w:color w:val="1A1A1A"/>
          <w:sz w:val="20"/>
          <w:szCs w:val="20"/>
        </w:rPr>
        <w:t xml:space="preserve">• The arena selection system with crowd intensity and stat modifiers</w:t>
      </w:r>
    </w:p>
    <w:p>
      <w:pPr>
        <w:spacing w:after="80"/>
        <w:ind w:left="360"/>
      </w:pPr>
      <w:r>
        <w:rPr>
          <w:rFonts w:ascii="Calibri" w:cs="Calibri" w:eastAsia="Calibri" w:hAnsi="Calibri"/>
          <w:color w:val="1A1A1A"/>
          <w:sz w:val="20"/>
          <w:szCs w:val="20"/>
        </w:rPr>
        <w:t xml:space="preserve">• All user interface design, layout, and visual presentation</w:t>
      </w:r>
    </w:p>
    <w:p>
      <w:pPr>
        <w:spacing w:after="80"/>
        <w:ind w:left="360"/>
      </w:pPr>
      <w:r>
        <w:rPr>
          <w:rFonts w:ascii="Calibri" w:cs="Calibri" w:eastAsia="Calibri" w:hAnsi="Calibri"/>
          <w:color w:val="1A1A1A"/>
          <w:sz w:val="20"/>
          <w:szCs w:val="20"/>
        </w:rPr>
        <w:t xml:space="preserve">• The Women's Division integration and character stat frameworks</w:t>
      </w:r>
    </w:p>
    <w:p>
      <w:pPr>
        <w:pBdr>
          <w:bottom w:val="single" w:color="C0392B" w:sz="6"/>
        </w:pBdr>
        <w:spacing w:after="240"/>
      </w:pPr>
    </w:p>
    <w:p>
      <w:pPr>
        <w:pStyle w:val="Heading1"/>
        <w:spacing w:after="120" w:before="360"/>
      </w:pPr>
      <w:r>
        <w:rPr>
          <w:rFonts w:ascii="Arial Black" w:cs="Arial Black" w:eastAsia="Arial Black" w:hAnsi="Arial Black"/>
          <w:b/>
          <w:bCs/>
          <w:color w:val="C0392B"/>
          <w:sz w:val="32"/>
          <w:szCs w:val="32"/>
        </w:rPr>
        <w:t xml:space="preserve">4. DISCLAIMER OF WARRANTIES</w:t>
      </w:r>
    </w:p>
    <w:p>
      <w:pPr>
        <w:spacing w:after="120"/>
        <w:jc w:val="left"/>
      </w:pPr>
      <w:r>
        <w:rPr>
          <w:rFonts w:ascii="Calibri" w:cs="Calibri" w:eastAsia="Calibri" w:hAnsi="Calibri"/>
          <w:b w:val="false"/>
          <w:bCs w:val="false"/>
          <w:i w:val="false"/>
          <w:iCs w:val="false"/>
          <w:color w:val="1A1A1A"/>
          <w:sz w:val="20"/>
          <w:szCs w:val="20"/>
        </w:rPr>
        <w:t xml:space="preserve">The Application is provided as a commercial software product. Aussi-Nexus Group makes no warranties regarding compatibility with third-party platforms, uninterrupted operation, or fitness for any particular purpose beyond that described in the sale agreement. All sales are final unless otherwise agreed in writing.</w:t>
      </w:r>
    </w:p>
    <w:p>
      <w:pPr>
        <w:pBdr>
          <w:bottom w:val="single" w:color="C0392B" w:sz="6"/>
        </w:pBdr>
        <w:spacing w:after="240"/>
      </w:pPr>
    </w:p>
    <w:p>
      <w:pPr>
        <w:pStyle w:val="Heading1"/>
        <w:spacing w:after="120" w:before="360"/>
      </w:pPr>
      <w:r>
        <w:rPr>
          <w:rFonts w:ascii="Arial Black" w:cs="Arial Black" w:eastAsia="Arial Black" w:hAnsi="Arial Black"/>
          <w:b/>
          <w:bCs/>
          <w:color w:val="C0392B"/>
          <w:sz w:val="32"/>
          <w:szCs w:val="32"/>
        </w:rPr>
        <w:t xml:space="preserve">5. LIMITATION OF LIABILITY</w:t>
      </w:r>
    </w:p>
    <w:p>
      <w:pPr>
        <w:spacing w:after="120"/>
        <w:jc w:val="left"/>
      </w:pPr>
      <w:r>
        <w:rPr>
          <w:rFonts w:ascii="Calibri" w:cs="Calibri" w:eastAsia="Calibri" w:hAnsi="Calibri"/>
          <w:b w:val="false"/>
          <w:bCs w:val="false"/>
          <w:i w:val="false"/>
          <w:iCs w:val="false"/>
          <w:color w:val="1A1A1A"/>
          <w:sz w:val="20"/>
          <w:szCs w:val="20"/>
        </w:rPr>
        <w:t xml:space="preserve">To the maximum extent permitted by Australian consumer law, Aussi-Nexus Group and Dr Manas Swain shall not be liable for any indirect, incidental, special, or consequential damages arising from the use, modification, or redistribution of this Application without authorisation.</w:t>
      </w:r>
    </w:p>
    <w:p>
      <w:pPr>
        <w:pBdr>
          <w:bottom w:val="single" w:color="C0392B" w:sz="6"/>
        </w:pBdr>
        <w:spacing w:after="240"/>
      </w:pPr>
    </w:p>
    <w:p>
      <w:pPr>
        <w:pStyle w:val="Heading1"/>
        <w:spacing w:after="120" w:before="360"/>
      </w:pPr>
      <w:r>
        <w:rPr>
          <w:rFonts w:ascii="Arial Black" w:cs="Arial Black" w:eastAsia="Arial Black" w:hAnsi="Arial Black"/>
          <w:b/>
          <w:bCs/>
          <w:color w:val="C0392B"/>
          <w:sz w:val="32"/>
          <w:szCs w:val="32"/>
        </w:rPr>
        <w:t xml:space="preserve">6. GOVERNING LAW</w:t>
      </w:r>
    </w:p>
    <w:p>
      <w:pPr>
        <w:spacing w:after="120"/>
        <w:jc w:val="left"/>
      </w:pPr>
      <w:r>
        <w:rPr>
          <w:rFonts w:ascii="Calibri" w:cs="Calibri" w:eastAsia="Calibri" w:hAnsi="Calibri"/>
          <w:b w:val="false"/>
          <w:bCs w:val="false"/>
          <w:i w:val="false"/>
          <w:iCs w:val="false"/>
          <w:color w:val="1A1A1A"/>
          <w:sz w:val="20"/>
          <w:szCs w:val="20"/>
        </w:rPr>
        <w:t xml:space="preserve">This disclaimer and any disputes arising from the sale or use of this Application shall be governed by the laws of Queensland, Australia. Any legal proceedings shall be conducted in the courts of Queensland.</w:t>
      </w:r>
    </w:p>
    <w:p>
      <w:pPr>
        <w:pBdr>
          <w:bottom w:val="single" w:color="C0392B" w:sz="6"/>
        </w:pBdr>
        <w:spacing w:after="240"/>
      </w:pPr>
    </w:p>
    <w:p>
      <w:pPr>
        <w:pStyle w:val="Heading1"/>
        <w:spacing w:after="120" w:before="360"/>
      </w:pPr>
      <w:r>
        <w:rPr>
          <w:rFonts w:ascii="Arial Black" w:cs="Arial Black" w:eastAsia="Arial Black" w:hAnsi="Arial Black"/>
          <w:b/>
          <w:bCs/>
          <w:color w:val="C0392B"/>
          <w:sz w:val="32"/>
          <w:szCs w:val="32"/>
        </w:rPr>
        <w:t xml:space="preserve">7. CONTACT &amp; LICENSING ENQUIRIES</w:t>
      </w:r>
    </w:p>
    <w:p>
      <w:pPr>
        <w:spacing w:after="120"/>
        <w:jc w:val="left"/>
      </w:pPr>
      <w:r>
        <w:rPr>
          <w:rFonts w:ascii="Calibri" w:cs="Calibri" w:eastAsia="Calibri" w:hAnsi="Calibri"/>
          <w:b w:val="false"/>
          <w:bCs w:val="false"/>
          <w:i w:val="false"/>
          <w:iCs w:val="false"/>
          <w:color w:val="1A1A1A"/>
          <w:sz w:val="20"/>
          <w:szCs w:val="20"/>
        </w:rPr>
        <w:t xml:space="preserve">All enquiries regarding licensing, sale, modification rights, or commercial use of this Application should be directed to:</w:t>
      </w:r>
    </w:p>
    <w:p>
      <w:pPr>
        <w:spacing w:after="80" w:before="160"/>
      </w:pPr>
      <w:r>
        <w:rPr>
          <w:rFonts w:ascii="Calibri" w:cs="Calibri" w:eastAsia="Calibri" w:hAnsi="Calibri"/>
          <w:b/>
          <w:bCs/>
          <w:color w:val="1A1A1A"/>
          <w:sz w:val="20"/>
          <w:szCs w:val="20"/>
        </w:rPr>
        <w:t xml:space="preserve">Dr Manas Swain</w:t>
      </w:r>
      <w:r>
        <w:rPr>
          <w:rFonts w:ascii="Calibri" w:cs="Calibri" w:eastAsia="Calibri" w:hAnsi="Calibri"/>
          <w:color w:val="1A1A1A"/>
          <w:sz w:val="20"/>
          <w:szCs w:val="20"/>
        </w:rPr>
        <w:t xml:space="preserve"> — Aussi-Nexus Group</w:t>
      </w:r>
    </w:p>
    <w:p>
      <w:pPr>
        <w:spacing w:after="120"/>
        <w:jc w:val="left"/>
      </w:pPr>
      <w:r>
        <w:rPr>
          <w:rFonts w:ascii="Calibri" w:cs="Calibri" w:eastAsia="Calibri" w:hAnsi="Calibri"/>
          <w:b w:val="false"/>
          <w:bCs w:val="false"/>
          <w:i w:val="false"/>
          <w:iCs w:val="false"/>
          <w:color w:val="1A1A1A"/>
          <w:sz w:val="20"/>
          <w:szCs w:val="20"/>
        </w:rPr>
        <w:t xml:space="preserve">ABN 76 947 108 181 | Shailer Park, Queensland, Australia</w:t>
      </w:r>
    </w:p>
    <w:p>
      <w:r>
        <w:br w:type="page"/>
      </w:r>
    </w:p>
    <w:p>
      <w:pPr>
        <w:spacing w:after="80" w:before="600"/>
      </w:pPr>
      <w:r>
        <w:rPr>
          <w:rFonts w:ascii="Calibri" w:cs="Calibri" w:eastAsia="Calibri" w:hAnsi="Calibri"/>
          <w:color w:val="555555"/>
          <w:sz w:val="20"/>
          <w:szCs w:val="20"/>
        </w:rPr>
        <w:t xml:space="preserve">AUTHORISED SIGNATURE</w:t>
      </w:r>
    </w:p>
    <w:p>
      <w:pPr>
        <w:pBdr>
          <w:bottom w:val="single" w:color="1A1A1A" w:sz="4"/>
        </w:pBdr>
        <w:spacing w:after="80"/>
      </w:pPr>
      <w:r>
        <w:rPr>
          <w:sz w:val="20"/>
          <w:szCs w:val="20"/>
        </w:rPr>
        <w:t xml:space="preserve"> </w:t>
      </w:r>
    </w:p>
    <w:p>
      <w:pPr>
        <w:spacing w:after="120"/>
        <w:jc w:val="left"/>
      </w:pPr>
      <w:r>
        <w:rPr>
          <w:rFonts w:ascii="Calibri" w:cs="Calibri" w:eastAsia="Calibri" w:hAnsi="Calibri"/>
          <w:b w:val="false"/>
          <w:bCs w:val="false"/>
          <w:i w:val="false"/>
          <w:iCs w:val="false"/>
          <w:color w:val="1A1A1A"/>
          <w:sz w:val="20"/>
          <w:szCs w:val="20"/>
        </w:rPr>
        <w:t xml:space="preserve">Dr Manas Swain, MBBS, Grad MHP, MS in Human Services</w:t>
      </w:r>
    </w:p>
    <w:p>
      <w:pPr>
        <w:spacing w:after="120"/>
        <w:jc w:val="left"/>
      </w:pPr>
      <w:r>
        <w:rPr>
          <w:rFonts w:ascii="Calibri" w:cs="Calibri" w:eastAsia="Calibri" w:hAnsi="Calibri"/>
          <w:b w:val="false"/>
          <w:bCs w:val="false"/>
          <w:i w:val="false"/>
          <w:iCs w:val="false"/>
          <w:color w:val="1A1A1A"/>
          <w:sz w:val="20"/>
          <w:szCs w:val="20"/>
        </w:rPr>
        <w:t xml:space="preserve">Founder &amp; Owner — Aussi-Nexus Group</w:t>
      </w:r>
    </w:p>
    <w:p>
      <w:pPr>
        <w:spacing w:after="120"/>
        <w:jc w:val="left"/>
      </w:pPr>
      <w:r>
        <w:rPr>
          <w:rFonts w:ascii="Calibri" w:cs="Calibri" w:eastAsia="Calibri" w:hAnsi="Calibri"/>
          <w:b w:val="false"/>
          <w:bCs w:val="false"/>
          <w:i w:val="false"/>
          <w:iCs w:val="false"/>
          <w:color w:val="1A1A1A"/>
          <w:sz w:val="20"/>
          <w:szCs w:val="20"/>
        </w:rPr>
        <w:t xml:space="preserve">Date: 7 August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2026-08-07T23:18:15.344Z</dcterms:created>
  <dcterms:modified xsi:type="dcterms:W3CDTF">2026-08-07T23:18:15.345Z</dcterms:modified>
</cp:coreProperties>
</file>

<file path=docProps/custom.xml><?xml version="1.0" encoding="utf-8"?>
<Properties xmlns="http://schemas.openxmlformats.org/officeDocument/2006/custom-properties" xmlns:vt="http://schemas.openxmlformats.org/officeDocument/2006/docPropsVTypes"/>
</file>