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999999"/>
          <w:sz w:val="20"/>
        </w:rPr>
        <w:t>AI-NATIVE TRANSFORMATION SERIES</w:t>
      </w:r>
    </w:p>
    <w:p>
      <w:r>
        <w:rPr>
          <w:rFonts w:ascii="Arial" w:hAnsi="Arial"/>
          <w:b w:val="0"/>
          <w:color w:val="999999"/>
          <w:sz w:val="20"/>
        </w:rPr>
        <w:t>Document 5 of 5</w:t>
      </w:r>
    </w:p>
    <w:p>
      <w:r>
        <w:rPr>
          <w:rFonts w:ascii="Arial" w:hAnsi="Arial"/>
          <w:b/>
          <w:color w:val="1B4F8A"/>
          <w:sz w:val="52"/>
        </w:rPr>
        <w:t>Knowledge Engine</w:t>
      </w:r>
    </w:p>
    <w:p>
      <w:r>
        <w:rPr>
          <w:rFonts w:ascii="Arial" w:hAnsi="Arial"/>
          <w:b/>
          <w:color w:val="2E75B6"/>
          <w:sz w:val="40"/>
        </w:rPr>
        <w:t>Deployment Architecture</w:t>
      </w:r>
    </w:p>
    <w:p>
      <w:r>
        <w:rPr>
          <w:rFonts w:ascii="Arial" w:hAnsi="Arial"/>
          <w:b w:val="0"/>
          <w:color w:val="555555"/>
          <w:sz w:val="22"/>
        </w:rPr>
        <w:t>A deployment blueprint for operating an agentic knowledge engine (cognee) as the retrieval and reasoning core behind the Organisational Digital Twin — containerised on a VPS, with one engine instance per client engagement.</w:t>
      </w:r>
    </w:p>
    <w:p/>
    <w:p>
      <w:pPr>
        <w:pStyle w:val="Heading1"/>
      </w:pPr>
      <w:r>
        <w:rPr>
          <w:rFonts w:ascii="Arial" w:hAnsi="Arial"/>
          <w:b/>
          <w:color w:val="1B4F8A"/>
          <w:sz w:val="32"/>
        </w:rPr>
        <w:t>1. Purpose and Strategic Logic</w:t>
      </w:r>
    </w:p>
    <w:p>
      <w:r>
        <w:rPr>
          <w:rFonts w:ascii="Arial" w:hAnsi="Arial"/>
          <w:b w:val="0"/>
          <w:color w:val="222222"/>
          <w:sz w:val="22"/>
        </w:rPr>
        <w:t>This document specifies how to operate an agentic knowledge engine as the memory and retrieval substrate for the Organisational Digital Twin. The reference implementation is cognee (https://www.cognee.ai/), an open-source knowledge engine that transforms unstructured engagement data into a living knowledge graph with an ontology layer, session memory, and a self-improvement loop driven by feedback.</w:t>
      </w:r>
    </w:p>
    <w:p>
      <w:r>
        <w:rPr>
          <w:rFonts w:ascii="Arial" w:hAnsi="Arial"/>
          <w:b w:val="0"/>
          <w:color w:val="222222"/>
          <w:sz w:val="22"/>
        </w:rPr>
        <w:t>The strategic premise is simple. The twin is only as effective as the context it can feed into the AI-Native delivery pipeline during shadow runs. Document-based RAG over scattered Confluence and Jira exports is insufficient — it retrieves snippets but does not model the engagement. A knowledge engine closes that gap by holding each project as a queryable graph that the shadow-run agents can reason against coherently across long replays.</w:t>
      </w:r>
    </w:p>
    <w:p>
      <w:r>
        <w:rPr>
          <w:rFonts w:ascii="Arial" w:hAnsi="Arial"/>
          <w:b w:val="0"/>
          <w:color w:val="222222"/>
          <w:sz w:val="22"/>
        </w:rPr>
        <w:t>This document addresses three decisions: (1) which knowledge engine capabilities actually matter for the twin, (2) how to deploy the engine in a Docker container on a VPS with production-grade hygiene, and (3) how to isolate engines so that internal access control is simple, auditable, and defensible to clients.</w:t>
      </w:r>
    </w:p>
    <w:p>
      <w:pPr>
        <w:pStyle w:val="Heading1"/>
      </w:pPr>
      <w:r>
        <w:rPr>
          <w:rFonts w:ascii="Arial" w:hAnsi="Arial"/>
          <w:b/>
          <w:color w:val="1B4F8A"/>
          <w:sz w:val="32"/>
        </w:rPr>
        <w:t>2. Capabilities Required from the Knowledge Engine</w:t>
      </w:r>
    </w:p>
    <w:p>
      <w:r>
        <w:rPr>
          <w:rFonts w:ascii="Arial" w:hAnsi="Arial"/>
          <w:b w:val="0"/>
          <w:color w:val="222222"/>
          <w:sz w:val="22"/>
        </w:rPr>
        <w:t>Not every feature a knowledge-engine vendor advertises is load-bearing for a shadow-run environment. The twin needs exactly the following, and the deployment architecture must preserve all of them:</w:t>
      </w:r>
    </w:p>
    <w:tbl>
      <w:tblPr>
        <w:tblStyle w:val="LightGrid-Accent1"/>
        <w:tblW w:type="auto" w:w="0"/>
        <w:tblLook w:firstColumn="1" w:firstRow="1" w:lastColumn="0" w:lastRow="0" w:noHBand="0" w:noVBand="1" w:val="04A0"/>
      </w:tblPr>
      <w:tblGrid>
        <w:gridCol w:w="4680"/>
        <w:gridCol w:w="4680"/>
      </w:tblGrid>
      <w:tr>
        <w:tc>
          <w:tcPr>
            <w:tcW w:type="dxa" w:w="4680"/>
          </w:tcPr>
          <w:p>
            <w:r>
              <w:t>Capability</w:t>
            </w:r>
          </w:p>
        </w:tc>
        <w:tc>
          <w:tcPr>
            <w:tcW w:type="dxa" w:w="4680"/>
          </w:tcPr>
          <w:p>
            <w:r>
              <w:t>Why the Twin Needs It</w:t>
            </w:r>
          </w:p>
        </w:tc>
      </w:tr>
      <w:tr>
        <w:tc>
          <w:tcPr>
            <w:tcW w:type="dxa" w:w="4680"/>
          </w:tcPr>
          <w:p>
            <w:r>
              <w:t>Ontology mapping</w:t>
            </w:r>
          </w:p>
        </w:tc>
        <w:tc>
          <w:tcPr>
            <w:tcW w:type="dxa" w:w="4680"/>
          </w:tcPr>
          <w:p>
            <w:r>
              <w:t>The org's own vocabulary — roles, SDLC stages, project archetypes, quality gates — becomes the graph schema. Off-the-shelf schemas erase the nuance that makes replays honest.</w:t>
            </w:r>
          </w:p>
        </w:tc>
      </w:tr>
      <w:tr>
        <w:tc>
          <w:tcPr>
            <w:tcW w:type="dxa" w:w="4680"/>
          </w:tcPr>
          <w:p>
            <w:r>
              <w:t>Multi-modal ingestion</w:t>
            </w:r>
          </w:p>
        </w:tc>
        <w:tc>
          <w:tcPr>
            <w:tcW w:type="dxa" w:w="4680"/>
          </w:tcPr>
          <w:p>
            <w:r>
              <w:t>PRs, tickets, design docs, Slack threads, meeting transcripts, spreadsheets, PDFs. An engagement is not just code — the graph must hold everything the original team saw.</w:t>
            </w:r>
          </w:p>
        </w:tc>
      </w:tr>
      <w:tr>
        <w:tc>
          <w:tcPr>
            <w:tcW w:type="dxa" w:w="4680"/>
          </w:tcPr>
          <w:p>
            <w:r>
              <w:t>Session and memory management</w:t>
            </w:r>
          </w:p>
        </w:tc>
        <w:tc>
          <w:tcPr>
            <w:tcW w:type="dxa" w:w="4680"/>
          </w:tcPr>
          <w:p>
            <w:r>
              <w:t>Shadow runs are long. Agents reasoning across a six-month replay must maintain coherence without manual context juggling. This is the direct fix for the context-collapse problem.</w:t>
            </w:r>
          </w:p>
        </w:tc>
      </w:tr>
      <w:tr>
        <w:tc>
          <w:tcPr>
            <w:tcW w:type="dxa" w:w="4680"/>
          </w:tcPr>
          <w:p>
            <w:r>
              <w:t>Agentic isolation</w:t>
            </w:r>
          </w:p>
        </w:tc>
        <w:tc>
          <w:tcPr>
            <w:tcW w:type="dxa" w:w="4680"/>
          </w:tcPr>
          <w:p>
            <w:r>
              <w:t>Each agent in the spec → code → review → test pipeline pulls only the relevant slice of the graph. Isolation at the query boundary prevents context bloat and cross-contamination.</w:t>
            </w:r>
          </w:p>
        </w:tc>
      </w:tr>
      <w:tr>
        <w:tc>
          <w:tcPr>
            <w:tcW w:type="dxa" w:w="4680"/>
          </w:tcPr>
          <w:p>
            <w:r>
              <w:t>Cited, auditable answers</w:t>
            </w:r>
          </w:p>
        </w:tc>
        <w:tc>
          <w:tcPr>
            <w:tcW w:type="dxa" w:w="4680"/>
          </w:tcPr>
          <w:p>
            <w:r>
              <w:t>Every output traces back to source nodes in the graph. Required by the Governance &amp; Quality function and by regulated-client reviews.</w:t>
            </w:r>
          </w:p>
        </w:tc>
      </w:tr>
      <w:tr>
        <w:tc>
          <w:tcPr>
            <w:tcW w:type="dxa" w:w="4680"/>
          </w:tcPr>
          <w:p>
            <w:r>
              <w:t>Feedback-driven self-tuning</w:t>
            </w:r>
          </w:p>
        </w:tc>
        <w:tc>
          <w:tcPr>
            <w:tcW w:type="dxa" w:w="4680"/>
          </w:tcPr>
          <w:p>
            <w:r>
              <w:t>Shadow-run outcomes (defect escape, rework, cycle time) are written back as labelled feedback. The graph compounds across replays — the twin gets smarter, not just faster.</w:t>
            </w:r>
          </w:p>
        </w:tc>
      </w:tr>
    </w:tbl>
    <w:p/>
    <w:p>
      <w:r>
        <w:rPr>
          <w:rFonts w:ascii="Arial" w:hAnsi="Arial"/>
          <w:b/>
          <w:color w:val="B04A00"/>
          <w:sz w:val="20"/>
        </w:rPr>
        <w:t>Rule: any deployment choice that breaks one of these six capabilities is disqualified, regardless of operational convenience.</w:t>
      </w:r>
    </w:p>
    <w:p>
      <w:pPr>
        <w:pStyle w:val="Heading1"/>
      </w:pPr>
      <w:r>
        <w:rPr>
          <w:rFonts w:ascii="Arial" w:hAnsi="Arial"/>
          <w:b/>
          <w:color w:val="1B4F8A"/>
          <w:sz w:val="32"/>
        </w:rPr>
        <w:t>3. Deployment Architecture</w:t>
      </w:r>
    </w:p>
    <w:p>
      <w:pPr>
        <w:pStyle w:val="Heading2"/>
      </w:pPr>
      <w:r>
        <w:rPr>
          <w:rFonts w:ascii="Arial" w:hAnsi="Arial"/>
          <w:b/>
          <w:color w:val="2E75B6"/>
          <w:sz w:val="26"/>
        </w:rPr>
        <w:t>3.1 Target Environment</w:t>
      </w:r>
    </w:p>
    <w:p>
      <w:r>
        <w:rPr>
          <w:rFonts w:ascii="Arial" w:hAnsi="Arial"/>
          <w:b w:val="0"/>
          <w:color w:val="222222"/>
          <w:sz w:val="22"/>
        </w:rPr>
        <w:t>The engine runs as a Docker Compose stack on a Linux VPS. The VPS is chosen over managed cloud PaaS for three reasons: (a) predictable monthly cost per engagement, (b) a clean network boundary the security team can reason about, and (c) no implicit data egress to a SaaS vendor — a hard requirement for enterprise clients with IP-sensitive codebases.</w:t>
      </w:r>
    </w:p>
    <w:p>
      <w:pPr>
        <w:pStyle w:val="Heading2"/>
      </w:pPr>
      <w:r>
        <w:rPr>
          <w:rFonts w:ascii="Arial" w:hAnsi="Arial"/>
          <w:b/>
          <w:color w:val="2E75B6"/>
          <w:sz w:val="26"/>
        </w:rPr>
        <w:t>3.2 Container Composition</w:t>
      </w:r>
    </w:p>
    <w:p>
      <w:r>
        <w:rPr>
          <w:rFonts w:ascii="Arial" w:hAnsi="Arial"/>
          <w:b w:val="0"/>
          <w:color w:val="222222"/>
          <w:sz w:val="22"/>
        </w:rPr>
        <w:t>Each engine instance is composed of the following services, defined in a single docker-compose.yml and versioned alongside the engagement repository:</w:t>
      </w:r>
    </w:p>
    <w:p>
      <w:pPr>
        <w:pStyle w:val="ListParagraph"/>
        <w:ind w:left="504"/>
      </w:pPr>
      <w:r>
        <w:rPr>
          <w:rFonts w:ascii="Arial" w:hAnsi="Arial"/>
          <w:b w:val="0"/>
          <w:color w:val="222222"/>
          <w:sz w:val="22"/>
        </w:rPr>
        <w:t>• cognee — the knowledge engine service itself, exposing an HTTP API on an internal network only.</w:t>
      </w:r>
    </w:p>
    <w:p>
      <w:pPr>
        <w:pStyle w:val="ListParagraph"/>
        <w:ind w:left="504"/>
      </w:pPr>
      <w:r>
        <w:rPr>
          <w:rFonts w:ascii="Arial" w:hAnsi="Arial"/>
          <w:b w:val="0"/>
          <w:color w:val="222222"/>
          <w:sz w:val="22"/>
        </w:rPr>
        <w:t>• postgres — relational store for metadata, sessions, and feedback labels.</w:t>
      </w:r>
    </w:p>
    <w:p>
      <w:pPr>
        <w:pStyle w:val="ListParagraph"/>
        <w:ind w:left="504"/>
      </w:pPr>
      <w:r>
        <w:rPr>
          <w:rFonts w:ascii="Arial" w:hAnsi="Arial"/>
          <w:b w:val="0"/>
          <w:color w:val="222222"/>
          <w:sz w:val="22"/>
        </w:rPr>
        <w:t>• vector-db — either pgvector inside the postgres container or a dedicated Qdrant/Weaviate service for larger graphs.</w:t>
      </w:r>
    </w:p>
    <w:p>
      <w:pPr>
        <w:pStyle w:val="ListParagraph"/>
        <w:ind w:left="504"/>
      </w:pPr>
      <w:r>
        <w:rPr>
          <w:rFonts w:ascii="Arial" w:hAnsi="Arial"/>
          <w:b w:val="0"/>
          <w:color w:val="222222"/>
          <w:sz w:val="22"/>
        </w:rPr>
        <w:t>• graph-db — Neo4j or Kuzu for the knowledge-graph layer (cognee supports both).</w:t>
      </w:r>
    </w:p>
    <w:p>
      <w:pPr>
        <w:pStyle w:val="ListParagraph"/>
        <w:ind w:left="504"/>
      </w:pPr>
      <w:r>
        <w:rPr>
          <w:rFonts w:ascii="Arial" w:hAnsi="Arial"/>
          <w:b w:val="0"/>
          <w:color w:val="222222"/>
          <w:sz w:val="22"/>
        </w:rPr>
        <w:t>• object-store — MinIO, for ingested raw artifacts (PDFs, transcripts, exports) kept alongside the graph.</w:t>
      </w:r>
    </w:p>
    <w:p>
      <w:pPr>
        <w:pStyle w:val="ListParagraph"/>
        <w:ind w:left="504"/>
      </w:pPr>
      <w:r>
        <w:rPr>
          <w:rFonts w:ascii="Arial" w:hAnsi="Arial"/>
          <w:b w:val="0"/>
          <w:color w:val="222222"/>
          <w:sz w:val="22"/>
        </w:rPr>
        <w:t>• reverse-proxy — Caddy or Traefik, terminating TLS and fronting the engine API with per-project hostnames.</w:t>
      </w:r>
    </w:p>
    <w:p>
      <w:pPr>
        <w:pStyle w:val="ListParagraph"/>
        <w:ind w:left="504"/>
      </w:pPr>
      <w:r>
        <w:rPr>
          <w:rFonts w:ascii="Arial" w:hAnsi="Arial"/>
          <w:b w:val="0"/>
          <w:color w:val="222222"/>
          <w:sz w:val="22"/>
        </w:rPr>
        <w:t>• auth-proxy — oauth2-proxy fronting the reverse-proxy for SSO-enforced access (see Section 5).</w:t>
      </w:r>
    </w:p>
    <w:p>
      <w:pPr>
        <w:pStyle w:val="Heading2"/>
      </w:pPr>
      <w:r>
        <w:rPr>
          <w:rFonts w:ascii="Arial" w:hAnsi="Arial"/>
          <w:b/>
          <w:color w:val="2E75B6"/>
          <w:sz w:val="26"/>
        </w:rPr>
        <w:t>3.3 VPS Baseline</w:t>
      </w:r>
    </w:p>
    <w:p>
      <w:r>
        <w:rPr>
          <w:rFonts w:ascii="Arial" w:hAnsi="Arial"/>
          <w:b w:val="0"/>
          <w:color w:val="222222"/>
          <w:sz w:val="22"/>
        </w:rPr>
        <w:t>One VPS can host multiple project engines provided resources are partitioned. A pragmatic baseline for early adoption: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Tier</w:t>
            </w:r>
          </w:p>
        </w:tc>
        <w:tc>
          <w:tcPr>
            <w:tcW w:type="dxa" w:w="3120"/>
          </w:tcPr>
          <w:p>
            <w:r>
              <w:t>Spec</w:t>
            </w:r>
          </w:p>
        </w:tc>
        <w:tc>
          <w:tcPr>
            <w:tcW w:type="dxa" w:w="3120"/>
          </w:tcPr>
          <w:p>
            <w:r>
              <w:t>Fits</w:t>
            </w:r>
          </w:p>
        </w:tc>
      </w:tr>
      <w:tr>
        <w:tc>
          <w:tcPr>
            <w:tcW w:type="dxa" w:w="3120"/>
          </w:tcPr>
          <w:p>
            <w:r>
              <w:t>Starter</w:t>
            </w:r>
          </w:p>
        </w:tc>
        <w:tc>
          <w:tcPr>
            <w:tcW w:type="dxa" w:w="3120"/>
          </w:tcPr>
          <w:p>
            <w:r>
              <w:t>4 vCPU, 16 GB RAM, 200 GB NVMe</w:t>
            </w:r>
          </w:p>
        </w:tc>
        <w:tc>
          <w:tcPr>
            <w:tcW w:type="dxa" w:w="3120"/>
          </w:tcPr>
          <w:p>
            <w:r>
              <w:t>1–2 small engagements</w:t>
            </w:r>
          </w:p>
        </w:tc>
      </w:tr>
      <w:tr>
        <w:tc>
          <w:tcPr>
            <w:tcW w:type="dxa" w:w="3120"/>
          </w:tcPr>
          <w:p>
            <w:r>
              <w:t>Standard</w:t>
            </w:r>
          </w:p>
        </w:tc>
        <w:tc>
          <w:tcPr>
            <w:tcW w:type="dxa" w:w="3120"/>
          </w:tcPr>
          <w:p>
            <w:r>
              <w:t>8 vCPU, 32 GB RAM, 500 GB NVMe</w:t>
            </w:r>
          </w:p>
        </w:tc>
        <w:tc>
          <w:tcPr>
            <w:tcW w:type="dxa" w:w="3120"/>
          </w:tcPr>
          <w:p>
            <w:r>
              <w:t>3–5 active engagements</w:t>
            </w:r>
          </w:p>
        </w:tc>
      </w:tr>
      <w:tr>
        <w:tc>
          <w:tcPr>
            <w:tcW w:type="dxa" w:w="3120"/>
          </w:tcPr>
          <w:p>
            <w:r>
              <w:t>Heavy</w:t>
            </w:r>
          </w:p>
        </w:tc>
        <w:tc>
          <w:tcPr>
            <w:tcW w:type="dxa" w:w="3120"/>
          </w:tcPr>
          <w:p>
            <w:r>
              <w:t>16 vCPU, 64 GB RAM, 1 TB NVMe</w:t>
            </w:r>
          </w:p>
        </w:tc>
        <w:tc>
          <w:tcPr>
            <w:tcW w:type="dxa" w:w="3120"/>
          </w:tcPr>
          <w:p>
            <w:r>
              <w:t>6–10 engagements or large graphs</w:t>
            </w:r>
          </w:p>
        </w:tc>
      </w:tr>
    </w:tbl>
    <w:p/>
    <w:p>
      <w:r>
        <w:rPr>
          <w:rFonts w:ascii="Arial" w:hAnsi="Arial"/>
          <w:b w:val="0"/>
          <w:color w:val="222222"/>
          <w:sz w:val="22"/>
        </w:rPr>
        <w:t>Start on the Standard tier. Graph size grows non-linearly with the volume of ingested transcripts and tickets — monitor disk pressure on the graph-db and vector-db volumes before adding engagements, not after.</w:t>
      </w:r>
    </w:p>
    <w:p>
      <w:pPr>
        <w:pStyle w:val="Heading2"/>
      </w:pPr>
      <w:r>
        <w:rPr>
          <w:rFonts w:ascii="Arial" w:hAnsi="Arial"/>
          <w:b/>
          <w:color w:val="2E75B6"/>
          <w:sz w:val="26"/>
        </w:rPr>
        <w:t>3.4 Networking and TLS</w:t>
      </w:r>
    </w:p>
    <w:p>
      <w:r>
        <w:rPr>
          <w:rFonts w:ascii="Arial" w:hAnsi="Arial"/>
          <w:b w:val="0"/>
          <w:color w:val="222222"/>
          <w:sz w:val="22"/>
        </w:rPr>
        <w:t>The engine API is never exposed directly. All traffic enters through the reverse-proxy, which terminates TLS with Let's Encrypt certificates and forwards only to the auth-proxy. The auth-proxy enforces SSO against the corporate identity provider (Azure AD, Okta, or Google Workspace) before any request reaches the engine. Internal services communicate on a private Docker network with no published ports.</w:t>
      </w:r>
    </w:p>
    <w:p>
      <w:pPr>
        <w:pStyle w:val="Heading2"/>
      </w:pPr>
      <w:r>
        <w:rPr>
          <w:rFonts w:ascii="Arial" w:hAnsi="Arial"/>
          <w:b/>
          <w:color w:val="2E75B6"/>
          <w:sz w:val="26"/>
        </w:rPr>
        <w:t>3.5 Backups and State</w:t>
      </w:r>
    </w:p>
    <w:p>
      <w:r>
        <w:rPr>
          <w:rFonts w:ascii="Arial" w:hAnsi="Arial"/>
          <w:b w:val="0"/>
          <w:color w:val="222222"/>
          <w:sz w:val="22"/>
        </w:rPr>
        <w:t>Every engine instance gets a nightly snapshot of its postgres, graph-db, and object-store volumes to encrypted off-VPS storage. Retention matches the client contract — typically 30 days rolling plus one end-of-engagement archive. Backups are per-project, not global, so a client can request deletion of their engagement at any time without touching others.</w:t>
      </w:r>
    </w:p>
    <w:p>
      <w:pPr>
        <w:pStyle w:val="Heading1"/>
      </w:pPr>
      <w:r>
        <w:rPr>
          <w:rFonts w:ascii="Arial" w:hAnsi="Arial"/>
          <w:b/>
          <w:color w:val="1B4F8A"/>
          <w:sz w:val="32"/>
        </w:rPr>
        <w:t>4. Isolation Model — One Engine per Project</w:t>
      </w:r>
    </w:p>
    <w:p>
      <w:pPr>
        <w:pStyle w:val="Heading2"/>
      </w:pPr>
      <w:r>
        <w:rPr>
          <w:rFonts w:ascii="Arial" w:hAnsi="Arial"/>
          <w:b/>
          <w:color w:val="2E75B6"/>
          <w:sz w:val="26"/>
        </w:rPr>
        <w:t>4.1 The Decision</w:t>
      </w:r>
    </w:p>
    <w:p>
      <w:r>
        <w:rPr>
          <w:rFonts w:ascii="Arial" w:hAnsi="Arial"/>
          <w:b w:val="0"/>
          <w:color w:val="222222"/>
          <w:sz w:val="22"/>
        </w:rPr>
        <w:t>Adopt one engine instance per project engagement. Each instance is its own container stack, its own set of volumes, and its own hostname, even when several instances share the same VPS. This is the default and applies to every engagement unless explicitly waived by the security lead in writing.</w:t>
      </w:r>
    </w:p>
    <w:p>
      <w:pPr>
        <w:pStyle w:val="Heading2"/>
      </w:pPr>
      <w:r>
        <w:rPr>
          <w:rFonts w:ascii="Arial" w:hAnsi="Arial"/>
          <w:b/>
          <w:color w:val="2E75B6"/>
          <w:sz w:val="26"/>
        </w:rPr>
        <w:t>4.2 Why Per-Project Is the Right Default</w:t>
      </w:r>
    </w:p>
    <w:p>
      <w:pPr>
        <w:pStyle w:val="ListParagraph"/>
        <w:ind w:left="504"/>
      </w:pPr>
      <w:r>
        <w:rPr>
          <w:rFonts w:ascii="Arial" w:hAnsi="Arial"/>
          <w:b w:val="0"/>
          <w:color w:val="222222"/>
          <w:sz w:val="22"/>
        </w:rPr>
        <w:t>• Client IP stays bounded. Two engagements' source code, tickets, and meeting transcripts never share a process, a database, or a vector index. A bug in the engine cannot leak client A's graph into a query issued against client B's graph.</w:t>
      </w:r>
    </w:p>
    <w:p>
      <w:pPr>
        <w:pStyle w:val="ListParagraph"/>
        <w:ind w:left="504"/>
      </w:pPr>
      <w:r>
        <w:rPr>
          <w:rFonts w:ascii="Arial" w:hAnsi="Arial"/>
          <w:b w:val="0"/>
          <w:color w:val="222222"/>
          <w:sz w:val="22"/>
        </w:rPr>
        <w:t>• Access control collapses to a single question: does this employee have access to this project? That question is already answered by the project staffing system. No bespoke row-level security, no tenant-scoping bugs, no privilege escalation surface inside the engine.</w:t>
      </w:r>
    </w:p>
    <w:p>
      <w:pPr>
        <w:pStyle w:val="ListParagraph"/>
        <w:ind w:left="504"/>
      </w:pPr>
      <w:r>
        <w:rPr>
          <w:rFonts w:ascii="Arial" w:hAnsi="Arial"/>
          <w:b w:val="0"/>
          <w:color w:val="222222"/>
          <w:sz w:val="22"/>
        </w:rPr>
        <w:t>• Lifecycle matches the engagement. When a project ends, the entire stack is torn down and volumes are cryptographically erased. No residue, no orphaned rows in a shared schema.</w:t>
      </w:r>
    </w:p>
    <w:p>
      <w:pPr>
        <w:pStyle w:val="ListParagraph"/>
        <w:ind w:left="504"/>
      </w:pPr>
      <w:r>
        <w:rPr>
          <w:rFonts w:ascii="Arial" w:hAnsi="Arial"/>
          <w:b w:val="0"/>
          <w:color w:val="222222"/>
          <w:sz w:val="22"/>
        </w:rPr>
        <w:t>• Blast radius is contained. A corrupted graph, a runaway ingestion job, or a bad ontology migration affects exactly one engagement. The twin continues running on all other projects without coordination.</w:t>
      </w:r>
    </w:p>
    <w:p>
      <w:pPr>
        <w:pStyle w:val="ListParagraph"/>
        <w:ind w:left="504"/>
      </w:pPr>
      <w:r>
        <w:rPr>
          <w:rFonts w:ascii="Arial" w:hAnsi="Arial"/>
          <w:b w:val="0"/>
          <w:color w:val="222222"/>
          <w:sz w:val="22"/>
        </w:rPr>
        <w:t>• Auditability is tractable. One engine, one access log, one ingestion history, one feedback ledger — trivially exportable for client or regulator review.</w:t>
      </w:r>
    </w:p>
    <w:p>
      <w:pPr>
        <w:pStyle w:val="Heading2"/>
      </w:pPr>
      <w:r>
        <w:rPr>
          <w:rFonts w:ascii="Arial" w:hAnsi="Arial"/>
          <w:b/>
          <w:color w:val="2E75B6"/>
          <w:sz w:val="26"/>
        </w:rPr>
        <w:t>4.3 Trade-Offs Considered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Option</w:t>
            </w:r>
          </w:p>
        </w:tc>
        <w:tc>
          <w:tcPr>
            <w:tcW w:type="dxa" w:w="3120"/>
          </w:tcPr>
          <w:p>
            <w:r>
              <w:t>Pros</w:t>
            </w:r>
          </w:p>
        </w:tc>
        <w:tc>
          <w:tcPr>
            <w:tcW w:type="dxa" w:w="3120"/>
          </w:tcPr>
          <w:p>
            <w:r>
              <w:t>Cons</w:t>
            </w:r>
          </w:p>
        </w:tc>
      </w:tr>
      <w:tr>
        <w:tc>
          <w:tcPr>
            <w:tcW w:type="dxa" w:w="3120"/>
          </w:tcPr>
          <w:p>
            <w:r>
              <w:t>One shared engine, app-level tenancy</w:t>
            </w:r>
          </w:p>
        </w:tc>
        <w:tc>
          <w:tcPr>
            <w:tcW w:type="dxa" w:w="3120"/>
          </w:tcPr>
          <w:p>
            <w:r>
              <w:t>Lowest infra cost; single upgrade path.</w:t>
            </w:r>
          </w:p>
        </w:tc>
        <w:tc>
          <w:tcPr>
            <w:tcW w:type="dxa" w:w="3120"/>
          </w:tcPr>
          <w:p>
            <w:r>
              <w:t>Tenancy bugs become security incidents. Hard to prove isolation to regulated clients. Noisy-neighbour effects on graph query latency. Single failure domain.</w:t>
            </w:r>
          </w:p>
        </w:tc>
      </w:tr>
      <w:tr>
        <w:tc>
          <w:tcPr>
            <w:tcW w:type="dxa" w:w="3120"/>
          </w:tcPr>
          <w:p>
            <w:r>
              <w:t>One engine per service line (e.g. mobile, data)</w:t>
            </w:r>
          </w:p>
        </w:tc>
        <w:tc>
          <w:tcPr>
            <w:tcW w:type="dxa" w:w="3120"/>
          </w:tcPr>
          <w:p>
            <w:r>
              <w:t>Fewer instances than per-project; shared ontology reuse.</w:t>
            </w:r>
          </w:p>
        </w:tc>
        <w:tc>
          <w:tcPr>
            <w:tcW w:type="dxa" w:w="3120"/>
          </w:tcPr>
          <w:p>
            <w:r>
              <w:t>Still mixes multiple clients in one graph. Access control remains bespoke. Lifecycle misaligned with engagements — no natural teardown trigger.</w:t>
            </w:r>
          </w:p>
        </w:tc>
      </w:tr>
      <w:tr>
        <w:tc>
          <w:tcPr>
            <w:tcW w:type="dxa" w:w="3120"/>
          </w:tcPr>
          <w:p>
            <w:r>
              <w:t>One engine per project (chosen)</w:t>
            </w:r>
          </w:p>
        </w:tc>
        <w:tc>
          <w:tcPr>
            <w:tcW w:type="dxa" w:w="3120"/>
          </w:tcPr>
          <w:p>
            <w:r>
              <w:t>Hard isolation. Trivial access control. Clean teardown. Matches the engagement as the natural unit of work.</w:t>
            </w:r>
          </w:p>
        </w:tc>
        <w:tc>
          <w:tcPr>
            <w:tcW w:type="dxa" w:w="3120"/>
          </w:tcPr>
          <w:p>
            <w:r>
              <w:t>More containers to operate. Higher baseline RAM per engagement. Ontology reuse requires an explicit promotion path.</w:t>
            </w:r>
          </w:p>
        </w:tc>
      </w:tr>
    </w:tbl>
    <w:p/>
    <w:p>
      <w:r>
        <w:rPr>
          <w:rFonts w:ascii="Arial" w:hAnsi="Arial"/>
          <w:b w:val="0"/>
          <w:color w:val="222222"/>
          <w:sz w:val="22"/>
        </w:rPr>
        <w:t>The per-project option wins on the axes that actually matter — isolation, access control, auditability, and lifecycle. The operational cost is real but bounded: containers are cheap, and the Standard VPS tier comfortably hosts multiple engines. Ontology reuse is solved by maintaining a shared base ontology in a git repository and promoting refinements back to it after an engagement closes (Section 6.1).</w:t>
      </w:r>
    </w:p>
    <w:p>
      <w:pPr>
        <w:pStyle w:val="Heading2"/>
      </w:pPr>
      <w:r>
        <w:rPr>
          <w:rFonts w:ascii="Arial" w:hAnsi="Arial"/>
          <w:b/>
          <w:color w:val="2E75B6"/>
          <w:sz w:val="26"/>
        </w:rPr>
        <w:t>4.4 What Is Shared vs. Isolated</w:t>
      </w:r>
    </w:p>
    <w:tbl>
      <w:tblPr>
        <w:tblStyle w:val="LightGrid-Accent1"/>
        <w:tblW w:type="auto" w:w="0"/>
        <w:tblLook w:firstColumn="1" w:firstRow="1" w:lastColumn="0" w:lastRow="0" w:noHBand="0" w:noVBand="1" w:val="04A0"/>
      </w:tblPr>
      <w:tblGrid>
        <w:gridCol w:w="4680"/>
        <w:gridCol w:w="4680"/>
      </w:tblGrid>
      <w:tr>
        <w:tc>
          <w:tcPr>
            <w:tcW w:type="dxa" w:w="4680"/>
          </w:tcPr>
          <w:p>
            <w:r>
              <w:t>Shared Across Projects</w:t>
            </w:r>
          </w:p>
        </w:tc>
        <w:tc>
          <w:tcPr>
            <w:tcW w:type="dxa" w:w="4680"/>
          </w:tcPr>
          <w:p>
            <w:r>
              <w:t>Strictly Per-Project</w:t>
            </w:r>
          </w:p>
        </w:tc>
      </w:tr>
      <w:tr>
        <w:tc>
          <w:tcPr>
            <w:tcW w:type="dxa" w:w="4680"/>
          </w:tcPr>
          <w:p>
            <w:r>
              <w:t>Base ontology (promoted via git)</w:t>
            </w:r>
          </w:p>
        </w:tc>
        <w:tc>
          <w:tcPr>
            <w:tcW w:type="dxa" w:w="4680"/>
          </w:tcPr>
          <w:p>
            <w:r>
              <w:t>Project graph data (nodes, edges, embeddings)</w:t>
            </w:r>
          </w:p>
        </w:tc>
      </w:tr>
      <w:tr>
        <w:tc>
          <w:tcPr>
            <w:tcW w:type="dxa" w:w="4680"/>
          </w:tcPr>
          <w:p>
            <w:r>
              <w:t>Docker images and Compose templates</w:t>
            </w:r>
          </w:p>
        </w:tc>
        <w:tc>
          <w:tcPr>
            <w:tcW w:type="dxa" w:w="4680"/>
          </w:tcPr>
          <w:p>
            <w:r>
              <w:t>Ingested artifacts (PRs, tickets, transcripts, docs)</w:t>
            </w:r>
          </w:p>
        </w:tc>
      </w:tr>
      <w:tr>
        <w:tc>
          <w:tcPr>
            <w:tcW w:type="dxa" w:w="4680"/>
          </w:tcPr>
          <w:p>
            <w:r>
              <w:t>Reverse-proxy and auth-proxy binaries</w:t>
            </w:r>
          </w:p>
        </w:tc>
        <w:tc>
          <w:tcPr>
            <w:tcW w:type="dxa" w:w="4680"/>
          </w:tcPr>
          <w:p>
            <w:r>
              <w:t>postgres / graph-db / vector-db volumes</w:t>
            </w:r>
          </w:p>
        </w:tc>
      </w:tr>
      <w:tr>
        <w:tc>
          <w:tcPr>
            <w:tcW w:type="dxa" w:w="4680"/>
          </w:tcPr>
          <w:p>
            <w:r>
              <w:t>Monitoring and log-shipping agents</w:t>
            </w:r>
          </w:p>
        </w:tc>
        <w:tc>
          <w:tcPr>
            <w:tcW w:type="dxa" w:w="4680"/>
          </w:tcPr>
          <w:p>
            <w:r>
              <w:t>Access logs, feedback ledger, audit trail</w:t>
            </w:r>
          </w:p>
        </w:tc>
      </w:tr>
      <w:tr>
        <w:tc>
          <w:tcPr>
            <w:tcW w:type="dxa" w:w="4680"/>
          </w:tcPr>
          <w:p>
            <w:r>
              <w:t>VPS hardware and OS</w:t>
            </w:r>
          </w:p>
        </w:tc>
        <w:tc>
          <w:tcPr>
            <w:tcW w:type="dxa" w:w="4680"/>
          </w:tcPr>
          <w:p>
            <w:r>
              <w:t>TLS certificate and hostname</w:t>
            </w:r>
          </w:p>
        </w:tc>
      </w:tr>
    </w:tbl>
    <w:p>
      <w:pPr>
        <w:pStyle w:val="Heading1"/>
      </w:pPr>
      <w:r>
        <w:rPr>
          <w:rFonts w:ascii="Arial" w:hAnsi="Arial"/>
          <w:b/>
          <w:color w:val="1B4F8A"/>
          <w:sz w:val="32"/>
        </w:rPr>
        <w:t>5. Access Control for Internal Employees</w:t>
      </w:r>
    </w:p>
    <w:p>
      <w:pPr>
        <w:pStyle w:val="Heading2"/>
      </w:pPr>
      <w:r>
        <w:rPr>
          <w:rFonts w:ascii="Arial" w:hAnsi="Arial"/>
          <w:b/>
          <w:color w:val="2E75B6"/>
          <w:sz w:val="26"/>
        </w:rPr>
        <w:t>5.1 Identity</w:t>
      </w:r>
    </w:p>
    <w:p>
      <w:r>
        <w:rPr>
          <w:rFonts w:ascii="Arial" w:hAnsi="Arial"/>
          <w:b w:val="0"/>
          <w:color w:val="222222"/>
          <w:sz w:val="22"/>
        </w:rPr>
        <w:t>All human access flows through the corporate SSO. The auth-proxy in front of each engine enforces authentication before any request reaches the engine API. There are no local accounts, no shared credentials, and no API keys outside of a per-project service account held in a secrets manager.</w:t>
      </w:r>
    </w:p>
    <w:p>
      <w:pPr>
        <w:pStyle w:val="Heading2"/>
      </w:pPr>
      <w:r>
        <w:rPr>
          <w:rFonts w:ascii="Arial" w:hAnsi="Arial"/>
          <w:b/>
          <w:color w:val="2E75B6"/>
          <w:sz w:val="26"/>
        </w:rPr>
        <w:t>5.2 Authorisation</w:t>
      </w:r>
    </w:p>
    <w:p>
      <w:r>
        <w:rPr>
          <w:rFonts w:ascii="Arial" w:hAnsi="Arial"/>
          <w:b w:val="0"/>
          <w:color w:val="222222"/>
          <w:sz w:val="22"/>
        </w:rPr>
        <w:t>Authorisation is expressed as group membership in the identity provider. Each engine instance has exactly one group associated with it: proj-{engagement-id}-users. An employee appears in that group if and only if they are staffed on the engagement in the project management system. Access is therefore always a reflection of current staffing, not a separate permission system that can drift.</w:t>
      </w:r>
    </w:p>
    <w:p>
      <w:pPr>
        <w:pStyle w:val="Heading2"/>
      </w:pPr>
      <w:r>
        <w:rPr>
          <w:rFonts w:ascii="Arial" w:hAnsi="Arial"/>
          <w:b/>
          <w:color w:val="2E75B6"/>
          <w:sz w:val="26"/>
        </w:rPr>
        <w:t>5.3 Roles Within a Project</w:t>
      </w:r>
    </w:p>
    <w:tbl>
      <w:tblPr>
        <w:tblStyle w:val="LightGrid-Accent1"/>
        <w:tblW w:type="auto" w:w="0"/>
        <w:tblLook w:firstColumn="1" w:firstRow="1" w:lastColumn="0" w:lastRow="0" w:noHBand="0" w:noVBand="1" w:val="04A0"/>
      </w:tblPr>
      <w:tblGrid>
        <w:gridCol w:w="4680"/>
        <w:gridCol w:w="4680"/>
      </w:tblGrid>
      <w:tr>
        <w:tc>
          <w:tcPr>
            <w:tcW w:type="dxa" w:w="4680"/>
          </w:tcPr>
          <w:p>
            <w:r>
              <w:t>Role</w:t>
            </w:r>
          </w:p>
        </w:tc>
        <w:tc>
          <w:tcPr>
            <w:tcW w:type="dxa" w:w="4680"/>
          </w:tcPr>
          <w:p>
            <w:r>
              <w:t>Scope</w:t>
            </w:r>
          </w:p>
        </w:tc>
      </w:tr>
      <w:tr>
        <w:tc>
          <w:tcPr>
            <w:tcW w:type="dxa" w:w="4680"/>
          </w:tcPr>
          <w:p>
            <w:r>
              <w:t>project-reader</w:t>
            </w:r>
          </w:p>
        </w:tc>
        <w:tc>
          <w:tcPr>
            <w:tcW w:type="dxa" w:w="4680"/>
          </w:tcPr>
          <w:p>
            <w:r>
              <w:t>Query the graph, view cited answers, read audit logs. Default for all project members.</w:t>
            </w:r>
          </w:p>
        </w:tc>
      </w:tr>
      <w:tr>
        <w:tc>
          <w:tcPr>
            <w:tcW w:type="dxa" w:w="4680"/>
          </w:tcPr>
          <w:p>
            <w:r>
              <w:t>project-author</w:t>
            </w:r>
          </w:p>
        </w:tc>
        <w:tc>
          <w:tcPr>
            <w:tcW w:type="dxa" w:w="4680"/>
          </w:tcPr>
          <w:p>
            <w:r>
              <w:t>Ingest new artifacts, refine local ontology, label feedback. Granted to the AI-Native Champions on the engagement.</w:t>
            </w:r>
          </w:p>
        </w:tc>
      </w:tr>
      <w:tr>
        <w:tc>
          <w:tcPr>
            <w:tcW w:type="dxa" w:w="4680"/>
          </w:tcPr>
          <w:p>
            <w:r>
              <w:t>project-admin</w:t>
            </w:r>
          </w:p>
        </w:tc>
        <w:tc>
          <w:tcPr>
            <w:tcW w:type="dxa" w:w="4680"/>
          </w:tcPr>
          <w:p>
            <w:r>
              <w:t>Manage service config, rotate secrets, trigger backups. Granted to one delivery lead and one platform engineer per engagement.</w:t>
            </w:r>
          </w:p>
        </w:tc>
      </w:tr>
      <w:tr>
        <w:tc>
          <w:tcPr>
            <w:tcW w:type="dxa" w:w="4680"/>
          </w:tcPr>
          <w:p>
            <w:r>
              <w:t>platform-operator</w:t>
            </w:r>
          </w:p>
        </w:tc>
        <w:tc>
          <w:tcPr>
            <w:tcW w:type="dxa" w:w="4680"/>
          </w:tcPr>
          <w:p>
            <w:r>
              <w:t>Operate the VPS, deploy new engine stacks, manage shared infra. Granted to the platform team only. Does NOT imply access to graph contents.</w:t>
            </w:r>
          </w:p>
        </w:tc>
      </w:tr>
    </w:tbl>
    <w:p/>
    <w:p>
      <w:r>
        <w:rPr>
          <w:rFonts w:ascii="Arial" w:hAnsi="Arial"/>
          <w:b/>
          <w:color w:val="B04A00"/>
          <w:sz w:val="20"/>
        </w:rPr>
        <w:t>Key invariant: platform operators can run the engines but cannot read client data inside them. Achieved by encrypting data-plane volumes with per-project keys held in the secrets manager, not on the VPS.</w:t>
      </w:r>
    </w:p>
    <w:p>
      <w:pPr>
        <w:pStyle w:val="Heading2"/>
      </w:pPr>
      <w:r>
        <w:rPr>
          <w:rFonts w:ascii="Arial" w:hAnsi="Arial"/>
          <w:b/>
          <w:color w:val="2E75B6"/>
          <w:sz w:val="26"/>
        </w:rPr>
        <w:t>5.4 Audit and Review</w:t>
      </w:r>
    </w:p>
    <w:p>
      <w:r>
        <w:rPr>
          <w:rFonts w:ascii="Arial" w:hAnsi="Arial"/>
          <w:b w:val="0"/>
          <w:color w:val="222222"/>
          <w:sz w:val="22"/>
        </w:rPr>
        <w:t>Every query, ingestion, and administrative action is logged with the requesting employee's identity and a reference to the nodes touched. Logs are shipped off-VPS nightly to the central SIEM. A monthly access review reconciles the proj-{id}-users groups against the active staffing roster; anyone no longer staffed on the engagement is removed automatically.</w:t>
      </w:r>
    </w:p>
    <w:p>
      <w:pPr>
        <w:pStyle w:val="Heading1"/>
      </w:pPr>
      <w:r>
        <w:rPr>
          <w:rFonts w:ascii="Arial" w:hAnsi="Arial"/>
          <w:b/>
          <w:color w:val="1B4F8A"/>
          <w:sz w:val="32"/>
        </w:rPr>
        <w:t>6. Operational Practices</w:t>
      </w:r>
    </w:p>
    <w:p>
      <w:pPr>
        <w:pStyle w:val="Heading2"/>
      </w:pPr>
      <w:r>
        <w:rPr>
          <w:rFonts w:ascii="Arial" w:hAnsi="Arial"/>
          <w:b/>
          <w:color w:val="2E75B6"/>
          <w:sz w:val="26"/>
        </w:rPr>
        <w:t>6.1 Provisioning a New Project Engine</w:t>
      </w:r>
    </w:p>
    <w:p>
      <w:pPr>
        <w:pStyle w:val="ListParagraph"/>
        <w:ind w:left="504"/>
      </w:pPr>
      <w:r>
        <w:rPr>
          <w:rFonts w:ascii="Arial" w:hAnsi="Arial"/>
          <w:b w:val="0"/>
          <w:color w:val="222222"/>
          <w:sz w:val="22"/>
        </w:rPr>
        <w:t>• Clone the engine template repository; set the engagement id, hostname, and SSO group.</w:t>
      </w:r>
    </w:p>
    <w:p>
      <w:pPr>
        <w:pStyle w:val="ListParagraph"/>
        <w:ind w:left="504"/>
      </w:pPr>
      <w:r>
        <w:rPr>
          <w:rFonts w:ascii="Arial" w:hAnsi="Arial"/>
          <w:b w:val="0"/>
          <w:color w:val="222222"/>
          <w:sz w:val="22"/>
        </w:rPr>
        <w:t>• Pull the current base ontology from the shared ontology repository as a starting schema.</w:t>
      </w:r>
    </w:p>
    <w:p>
      <w:pPr>
        <w:pStyle w:val="ListParagraph"/>
        <w:ind w:left="504"/>
      </w:pPr>
      <w:r>
        <w:rPr>
          <w:rFonts w:ascii="Arial" w:hAnsi="Arial"/>
          <w:b w:val="0"/>
          <w:color w:val="222222"/>
          <w:sz w:val="22"/>
        </w:rPr>
        <w:t>• Run docker compose up on the target VPS; the reverse-proxy auto-provisions TLS.</w:t>
      </w:r>
    </w:p>
    <w:p>
      <w:pPr>
        <w:pStyle w:val="ListParagraph"/>
        <w:ind w:left="504"/>
      </w:pPr>
      <w:r>
        <w:rPr>
          <w:rFonts w:ascii="Arial" w:hAnsi="Arial"/>
          <w:b w:val="0"/>
          <w:color w:val="222222"/>
          <w:sz w:val="22"/>
        </w:rPr>
        <w:t>• Run the ingestion bootstrap: pull PRs, tickets, docs, and transcripts for the engagement window.</w:t>
      </w:r>
    </w:p>
    <w:p>
      <w:pPr>
        <w:pStyle w:val="ListParagraph"/>
        <w:ind w:left="504"/>
      </w:pPr>
      <w:r>
        <w:rPr>
          <w:rFonts w:ascii="Arial" w:hAnsi="Arial"/>
          <w:b w:val="0"/>
          <w:color w:val="222222"/>
          <w:sz w:val="22"/>
        </w:rPr>
        <w:t>• Validate: the as-is replay of a recent sprint must reproduce known outcomes within tolerance before the twin is used for shadow runs.</w:t>
      </w:r>
    </w:p>
    <w:p>
      <w:pPr>
        <w:pStyle w:val="Heading2"/>
      </w:pPr>
      <w:r>
        <w:rPr>
          <w:rFonts w:ascii="Arial" w:hAnsi="Arial"/>
          <w:b/>
          <w:color w:val="2E75B6"/>
          <w:sz w:val="26"/>
        </w:rPr>
        <w:t>6.2 Ontology Promotion</w:t>
      </w:r>
    </w:p>
    <w:p>
      <w:r>
        <w:rPr>
          <w:rFonts w:ascii="Arial" w:hAnsi="Arial"/>
          <w:b w:val="0"/>
          <w:color w:val="222222"/>
          <w:sz w:val="22"/>
        </w:rPr>
        <w:t>Refinements made to a project's ontology during an engagement are held locally. At the end of the engagement, the AI-Native Champions review the diff against the base ontology and promote any generalisable additions back to the shared repository via pull request. This is the mechanism by which the twin compounds learning across projects without sharing client data across projects.</w:t>
      </w:r>
    </w:p>
    <w:p>
      <w:pPr>
        <w:pStyle w:val="Heading2"/>
      </w:pPr>
      <w:r>
        <w:rPr>
          <w:rFonts w:ascii="Arial" w:hAnsi="Arial"/>
          <w:b/>
          <w:color w:val="2E75B6"/>
          <w:sz w:val="26"/>
        </w:rPr>
        <w:t>6.3 Teardown at Engagement End</w:t>
      </w:r>
    </w:p>
    <w:p>
      <w:pPr>
        <w:pStyle w:val="ListParagraph"/>
        <w:ind w:left="504"/>
      </w:pPr>
      <w:r>
        <w:rPr>
          <w:rFonts w:ascii="Arial" w:hAnsi="Arial"/>
          <w:b w:val="0"/>
          <w:color w:val="222222"/>
          <w:sz w:val="22"/>
        </w:rPr>
        <w:t>• Export the final feedback ledger and ontology diff to the shared repository.</w:t>
      </w:r>
    </w:p>
    <w:p>
      <w:pPr>
        <w:pStyle w:val="ListParagraph"/>
        <w:ind w:left="504"/>
      </w:pPr>
      <w:r>
        <w:rPr>
          <w:rFonts w:ascii="Arial" w:hAnsi="Arial"/>
          <w:b w:val="0"/>
          <w:color w:val="222222"/>
          <w:sz w:val="22"/>
        </w:rPr>
        <w:t>• Take a final archival snapshot if the client contract requires retention.</w:t>
      </w:r>
    </w:p>
    <w:p>
      <w:pPr>
        <w:pStyle w:val="ListParagraph"/>
        <w:ind w:left="504"/>
      </w:pPr>
      <w:r>
        <w:rPr>
          <w:rFonts w:ascii="Arial" w:hAnsi="Arial"/>
          <w:b w:val="0"/>
          <w:color w:val="222222"/>
          <w:sz w:val="22"/>
        </w:rPr>
        <w:t>• Stop the container stack; cryptographically erase the per-project volume keys.</w:t>
      </w:r>
    </w:p>
    <w:p>
      <w:pPr>
        <w:pStyle w:val="ListParagraph"/>
        <w:ind w:left="504"/>
      </w:pPr>
      <w:r>
        <w:rPr>
          <w:rFonts w:ascii="Arial" w:hAnsi="Arial"/>
          <w:b w:val="0"/>
          <w:color w:val="222222"/>
          <w:sz w:val="22"/>
        </w:rPr>
        <w:t>• Remove the proj-{engagement-id}-users group from the identity provider.</w:t>
      </w:r>
    </w:p>
    <w:p>
      <w:pPr>
        <w:pStyle w:val="ListParagraph"/>
        <w:ind w:left="504"/>
      </w:pPr>
      <w:r>
        <w:rPr>
          <w:rFonts w:ascii="Arial" w:hAnsi="Arial"/>
          <w:b w:val="0"/>
          <w:color w:val="222222"/>
          <w:sz w:val="22"/>
        </w:rPr>
        <w:t>• Deprovision the hostname and revoke the TLS certificate.</w:t>
      </w:r>
    </w:p>
    <w:p>
      <w:pPr>
        <w:pStyle w:val="Heading1"/>
      </w:pPr>
      <w:r>
        <w:rPr>
          <w:rFonts w:ascii="Arial" w:hAnsi="Arial"/>
          <w:b/>
          <w:color w:val="1B4F8A"/>
          <w:sz w:val="32"/>
        </w:rPr>
        <w:t>7. Risks and Mitigations</w:t>
      </w:r>
    </w:p>
    <w:tbl>
      <w:tblPr>
        <w:tblStyle w:val="LightGrid-Accent1"/>
        <w:tblW w:type="auto" w:w="0"/>
        <w:tblLook w:firstColumn="1" w:firstRow="1" w:lastColumn="0" w:lastRow="0" w:noHBand="0" w:noVBand="1" w:val="04A0"/>
      </w:tblPr>
      <w:tblGrid>
        <w:gridCol w:w="4680"/>
        <w:gridCol w:w="4680"/>
      </w:tblGrid>
      <w:tr>
        <w:tc>
          <w:tcPr>
            <w:tcW w:type="dxa" w:w="4680"/>
          </w:tcPr>
          <w:p>
            <w:r>
              <w:t>Risk</w:t>
            </w:r>
          </w:p>
        </w:tc>
        <w:tc>
          <w:tcPr>
            <w:tcW w:type="dxa" w:w="4680"/>
          </w:tcPr>
          <w:p>
            <w:r>
              <w:t>Mitigation</w:t>
            </w:r>
          </w:p>
        </w:tc>
      </w:tr>
      <w:tr>
        <w:tc>
          <w:tcPr>
            <w:tcW w:type="dxa" w:w="4680"/>
          </w:tcPr>
          <w:p>
            <w:r>
              <w:t>VPS compromise exposes multiple project graphs at once.</w:t>
            </w:r>
          </w:p>
        </w:tc>
        <w:tc>
          <w:tcPr>
            <w:tcW w:type="dxa" w:w="4680"/>
          </w:tcPr>
          <w:p>
            <w:r>
              <w:t>Data-plane volumes are encrypted with per-project keys held off-VPS in the secrets manager. A host-level breach does not yield plaintext graphs without also compromising the secrets manager.</w:t>
            </w:r>
          </w:p>
        </w:tc>
      </w:tr>
      <w:tr>
        <w:tc>
          <w:tcPr>
            <w:tcW w:type="dxa" w:w="4680"/>
          </w:tcPr>
          <w:p>
            <w:r>
              <w:t>Container sprawl as engagements accumulate.</w:t>
            </w:r>
          </w:p>
        </w:tc>
        <w:tc>
          <w:tcPr>
            <w:tcW w:type="dxa" w:w="4680"/>
          </w:tcPr>
          <w:p>
            <w:r>
              <w:t>Enforce a hard cap per VPS tier (Section 3.3). Require teardown as a gate for engagement closure, tracked in the delivery playbook.</w:t>
            </w:r>
          </w:p>
        </w:tc>
      </w:tr>
      <w:tr>
        <w:tc>
          <w:tcPr>
            <w:tcW w:type="dxa" w:w="4680"/>
          </w:tcPr>
          <w:p>
            <w:r>
              <w:t>Ontology drift across projects fragments the shared schema.</w:t>
            </w:r>
          </w:p>
        </w:tc>
        <w:tc>
          <w:tcPr>
            <w:tcW w:type="dxa" w:w="4680"/>
          </w:tcPr>
          <w:p>
            <w:r>
              <w:t>Base ontology is the single source of truth in git. Project-local refinements must be reviewed before promotion. Conflicts are resolved by the Process Architect.</w:t>
            </w:r>
          </w:p>
        </w:tc>
      </w:tr>
      <w:tr>
        <w:tc>
          <w:tcPr>
            <w:tcW w:type="dxa" w:w="4680"/>
          </w:tcPr>
          <w:p>
            <w:r>
              <w:t>Knowledge-engine vendor lock-in.</w:t>
            </w:r>
          </w:p>
        </w:tc>
        <w:tc>
          <w:tcPr>
            <w:tcW w:type="dxa" w:w="4680"/>
          </w:tcPr>
          <w:p>
            <w:r>
              <w:t>The ingestion pipeline writes raw artifacts to the object-store before the engine processes them. A migration to a different engine replays the raw store — the engine itself is stateless with respect to source data.</w:t>
            </w:r>
          </w:p>
        </w:tc>
      </w:tr>
      <w:tr>
        <w:tc>
          <w:tcPr>
            <w:tcW w:type="dxa" w:w="4680"/>
          </w:tcPr>
          <w:p>
            <w:r>
              <w:t>Self-tuning loop amplifies bad feedback labels.</w:t>
            </w:r>
          </w:p>
        </w:tc>
        <w:tc>
          <w:tcPr>
            <w:tcW w:type="dxa" w:w="4680"/>
          </w:tcPr>
          <w:p>
            <w:r>
              <w:t>Feedback writes require the project-author role and are reviewed weekly. A rollback snapshot is taken before each weekly tuning cycle.</w:t>
            </w:r>
          </w:p>
        </w:tc>
      </w:tr>
      <w:tr>
        <w:tc>
          <w:tcPr>
            <w:tcW w:type="dxa" w:w="4680"/>
          </w:tcPr>
          <w:p>
            <w:r>
              <w:t>SSO outage blocks access during a shadow run.</w:t>
            </w:r>
          </w:p>
        </w:tc>
        <w:tc>
          <w:tcPr>
            <w:tcW w:type="dxa" w:w="4680"/>
          </w:tcPr>
          <w:p>
            <w:r>
              <w:t>A break-glass local admin credential is stored in the secrets manager and usable only with dual approval. Every break-glass use is auto-reported to the security lead.</w:t>
            </w:r>
          </w:p>
        </w:tc>
      </w:tr>
    </w:tbl>
    <w:p>
      <w:pPr>
        <w:pStyle w:val="Heading1"/>
      </w:pPr>
      <w:r>
        <w:rPr>
          <w:rFonts w:ascii="Arial" w:hAnsi="Arial"/>
          <w:b/>
          <w:color w:val="1B4F8A"/>
          <w:sz w:val="32"/>
        </w:rPr>
        <w:t>8. Summary</w:t>
      </w:r>
    </w:p>
    <w:p>
      <w:r>
        <w:rPr>
          <w:rFonts w:ascii="Arial" w:hAnsi="Arial"/>
          <w:b w:val="0"/>
          <w:color w:val="222222"/>
          <w:sz w:val="22"/>
        </w:rPr>
        <w:t>The knowledge engine is the substrate that lets the Organisational Digital Twin hold a full engagement in working memory. Deploying it as a Dockerised stack on a VPS keeps cost, network, and data egress under direct control. Running one engine per project collapses access control to the single question of staffing, contains blast radius, and aligns the engine's lifecycle with the engagement it serves. The operational overhead of multiple containers is the price paid for a defensible isolation story — and for an environment in which shadow runs can compound learning without ever mixing client data.</w:t>
      </w:r>
    </w:p>
    <w:p>
      <w:pPr>
        <w:pStyle w:val="Heading1"/>
      </w:pPr>
      <w:r>
        <w:rPr>
          <w:rFonts w:ascii="Arial" w:hAnsi="Arial"/>
          <w:b/>
          <w:color w:val="1B4F8A"/>
          <w:sz w:val="32"/>
        </w:rPr>
        <w:t>9. Revision History</w:t>
      </w:r>
    </w:p>
    <w:p>
      <w:r>
        <w:rPr>
          <w:rFonts w:ascii="Arial" w:hAnsi="Arial"/>
          <w:color w:val="222222"/>
          <w:sz w:val="22"/>
        </w:rPr>
        <w:t>Material changes to this document are recorded below. Each row captures the date, author, and a short description of the change.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Date</w:t>
            </w:r>
          </w:p>
        </w:tc>
        <w:tc>
          <w:tcPr>
            <w:tcW w:type="dxa" w:w="3120"/>
          </w:tcPr>
          <w:p>
            <w:r>
              <w:t>Author</w:t>
            </w:r>
          </w:p>
        </w:tc>
        <w:tc>
          <w:tcPr>
            <w:tcW w:type="dxa" w:w="3120"/>
          </w:tcPr>
          <w:p>
            <w:r>
              <w:t>Change</w:t>
            </w:r>
          </w:p>
        </w:tc>
      </w:tr>
      <w:tr>
        <w:tc>
          <w:tcPr>
            <w:tcW w:type="dxa" w:w="3120"/>
          </w:tcPr>
          <w:p>
            <w:r>
              <w:t>2026-04-12</w:t>
            </w:r>
          </w:p>
        </w:tc>
        <w:tc>
          <w:tcPr>
            <w:tcW w:type="dxa" w:w="3120"/>
          </w:tcPr>
          <w:p>
            <w:r>
              <w:t>Manas Pradhan</w:t>
            </w:r>
          </w:p>
        </w:tc>
        <w:tc>
          <w:tcPr>
            <w:tcW w:type="dxa" w:w="3120"/>
          </w:tcPr>
          <w:p>
            <w:r>
              <w:t>Initial version.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