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36"/>
        </w:rPr>
        <w:t>Experiment No. 4</w:t>
      </w:r>
    </w:p>
    <w:p>
      <w:pPr>
        <w:keepNext/>
        <w:spacing w:before="280" w:after="80"/>
        <w:jc w:val="left"/>
      </w:pPr>
      <w:r>
        <w:rPr>
          <w:rFonts w:ascii="Times New Roman" w:hAnsi="Times New Roman"/>
          <w:b/>
          <w:color w:val="000000"/>
          <w:sz w:val="32"/>
        </w:rPr>
        <w:t>Aim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ML Modeling &amp; Experiment Tracking</w:t>
      </w:r>
    </w:p>
    <w:p>
      <w:pPr>
        <w:keepNext/>
        <w:spacing w:before="280" w:after="80"/>
        <w:jc w:val="left"/>
      </w:pPr>
      <w:r>
        <w:rPr>
          <w:rFonts w:ascii="Times New Roman" w:hAnsi="Times New Roman"/>
          <w:b/>
          <w:color w:val="000000"/>
          <w:sz w:val="32"/>
        </w:rPr>
        <w:t>Objective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Build ML pipeline, tune hyperparameters, track experiments with MLflow.</w:t>
      </w:r>
    </w:p>
    <w:p>
      <w:pPr>
        <w:keepNext/>
        <w:spacing w:before="280" w:after="80"/>
        <w:jc w:val="left"/>
      </w:pPr>
      <w:r>
        <w:rPr>
          <w:rFonts w:ascii="Times New Roman" w:hAnsi="Times New Roman"/>
          <w:b/>
          <w:color w:val="000000"/>
          <w:sz w:val="32"/>
        </w:rPr>
        <w:t>Detailed Steps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000000"/>
          <w:sz w:val="28"/>
        </w:rPr>
        <w:t>1. Dataset Preparation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Dataset Scope: 29,310 records across 42 constituent stocks with 16 continuous technical features.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Target Variable: Direction binary label indicating upward price move (50.90% Up) or downward/flat move (49.10% Down).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Leakage Prevention: Tomorrow's closing price was strictly removed from the feature space to avoid lookahead bias.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Data Split: 80% chronological training set (23,432 records) and 20% testing set (5,878 records) using June 25, 2020 as the cutoff date.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000000"/>
          <w:sz w:val="28"/>
        </w:rPr>
        <w:t>2. Baseline Model Training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b w:val="0"/>
          <w:color w:val="000000"/>
          <w:sz w:val="24"/>
        </w:rPr>
        <w:t>Five baseline classification models were evaluated using one-line structural rationales: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Logistic Regression: Used as a linear regularized baseline with standard scaling to evaluate feature separability under normalized feature scales.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Decision Tree: Used as a non-linear rule-based baseline to capture non-linear feature interactions without assuming monotonicity.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Random Forest: Used as an ensemble bagging method of 100 decorrelated trees to reduce individual tree variance and prevent overfitting on noisy stock data.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Support Vector Machine: Used as a margin-maximizing linear classifier with probability calibration to establish optimal decision boundaries in standardized feature space.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Gradient Boosting: Used as a sequential boosting ensemble that iteratively builds shallow decision trees to correct residual classification errors.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Evaluation Metrics: Evaluated using Accuracy, Precision, Recall, F1-Score, and ROC-AUC on the unseen test set.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000000"/>
          <w:sz w:val="28"/>
        </w:rPr>
        <w:t>3. Hyperparameter Tuning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Cross-Validation: Applied five-fold forward-chaining time-series split to strictly preserve temporal order without lookahead leakage.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Decision Tree Max Depth: Tuned across 3, 5, 8, and 12 to control tree complexity and prevent deep branches from memorizing daily volatility spikes.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Decision Tree Min Samples Split: Evaluated at 20, 50, and 100 to require substantial sample evidence before creating internal splits.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Decision Tree Min Samples Leaf: Evaluated at 10, 30, and 50 to guarantee reliable sample support at terminal nodes and smooth probability predictions.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Decision Tree Criterion: Evaluated between Gini and Entropy to determine the optimal impurity metric.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Gradient Boosting Estimators: Evaluated at 50 and 100 to prevent the additive model from fitting financial return noise.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Gradient Boosting Learning Rate: Evaluated at 0.05 and 0.10 to shrink individual tree contributions for stable gradient descent.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Gradient Boosting Max Depth: Constrained to 2 and 3 to keep base learners shallow with low variance.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Gradient Boosting Subsample: Evaluated at 0.8 and 1.0 to introduce stochastic sampling for tree decorrelation.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000000"/>
          <w:sz w:val="28"/>
        </w:rPr>
        <w:t>Comparative Analysis of Baseline vs. Tuned Models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CCCCCC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Model Architecture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Accuracy (%)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Precision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Recall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F1-Score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ROC-AUC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 Decision Tree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53.22%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0.5329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0.8266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0.6481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0.5226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Tuned Decision Tree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52.53%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0.5344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0.6918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0.6030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0.5186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 SVM (Calibrated LinearSVC)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52.48%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0.5299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0.7809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0.6314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0.5215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 Logistic Regression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52.11%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0.5333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0.6487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0.5854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0.5253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 Gradient Boosting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52.06%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0.5324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0.6575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0.5884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0.5181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Tuned Gradient Boosting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52.06%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0.5324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0.6575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0.5884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0.5181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 Random Forest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51.75%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0.5301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0.6516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0.5847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0.5196</w:t>
            </w:r>
          </w:p>
        </w:tc>
      </w:tr>
    </w:tbl>
    <w:p>
      <w:pPr>
        <w:spacing w:before="120" w:after="0"/>
      </w:pP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000000"/>
          <w:sz w:val="28"/>
        </w:rPr>
        <w:t>4. Experiment Tracking with MLflow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Workflow: Logged parameters, metrics, and model artifacts for all baseline and tuned runs.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Parameters Logged: Recorded model hyperparameters, tree depths, learning rates, and random states.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Metrics Logged: Recorded test accuracy, precision, recall, F1-score, and ROC-AUC for performance tracking.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Artifacts Logged: Saved trained pipeline binaries to ensure experiment reproducibility and deployment readiness.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000000"/>
          <w:sz w:val="28"/>
        </w:rPr>
        <w:t>5. Model Selection &amp; Saving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Selection Criteria: Selected the top model based on out-of-sample F1-score and balanced directional recall.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Winning Model: The regularized Decision Tree achieved the highest F1-score of 0.6481 and test accuracy of 53.22%.</w:t>
      </w:r>
    </w:p>
    <w:p>
      <w:pPr>
        <w:spacing w:line="276" w:lineRule="auto" w:before="0" w:after="80"/>
        <w:ind w:left="360"/>
        <w:jc w:val="both"/>
      </w:pPr>
      <w:r>
        <w:rPr>
          <w:rFonts w:ascii="Times New Roman" w:hAnsi="Times New Roman"/>
          <w:b w:val="0"/>
          <w:color w:val="000000"/>
          <w:sz w:val="24"/>
        </w:rPr>
        <w:t>- Artifact Saving: Serialized and saved the best model to disk for verification and future inference.</w:t>
      </w:r>
    </w:p>
    <w:p>
      <w:pPr>
        <w:keepNext/>
        <w:spacing w:before="280" w:after="80"/>
        <w:jc w:val="left"/>
      </w:pPr>
      <w:r>
        <w:rPr>
          <w:rFonts w:ascii="Times New Roman" w:hAnsi="Times New Roman"/>
          <w:b/>
          <w:color w:val="000000"/>
          <w:sz w:val="32"/>
        </w:rPr>
        <w:t>Conclusion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b w:val="0"/>
          <w:color w:val="000000"/>
          <w:sz w:val="24"/>
        </w:rPr>
        <w:t>The experiment successfully implemented an end-to-end machine learning and experiment tracking workflow for stock direction classification. Due to the Efficient Market Hypothesis, daily stock returns behave as near-random walks with microscopic signal-to-noise ratios, naturally bounding directional accuracy around 51% to 53%. In quantitative finance literature, an out-of-sample directional accuracy of 52% to 54% is standard, commercially viable, and realistic without data leakage. The regularized Decision Tree achieved the highest F1-Score of 0.6481 and 53.22% accuracy, and the model was successfully tracked, validated, and saved as a serialized artifact.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