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color w:val="000000"/>
          <w:sz w:val="36"/>
        </w:rPr>
        <w:t>Experiment No. 5</w:t>
      </w:r>
    </w:p>
    <w:p>
      <w:pPr>
        <w:keepNext/>
        <w:spacing w:before="280" w:after="80"/>
        <w:jc w:val="left"/>
      </w:pPr>
      <w:r>
        <w:rPr>
          <w:rFonts w:ascii="Times New Roman" w:hAnsi="Times New Roman"/>
          <w:b/>
          <w:color w:val="000000"/>
          <w:sz w:val="32"/>
        </w:rPr>
        <w:t>Aim</w:t>
      </w:r>
    </w:p>
    <w:p>
      <w:pPr>
        <w:spacing w:line="276" w:lineRule="auto" w:before="0" w:after="100"/>
        <w:jc w:val="both"/>
      </w:pPr>
      <w:r>
        <w:rPr>
          <w:rFonts w:ascii="Times New Roman" w:hAnsi="Times New Roman"/>
          <w:b w:val="0"/>
          <w:color w:val="000000"/>
          <w:sz w:val="24"/>
        </w:rPr>
        <w:t>To apply explainable AI (XAI) methods (SHAP &amp; LIME) for interpreting model predictions and evaluate fairness using Fairlearn.</w:t>
      </w:r>
    </w:p>
    <w:p>
      <w:pPr>
        <w:keepNext/>
        <w:spacing w:before="280" w:after="80"/>
        <w:jc w:val="left"/>
      </w:pPr>
      <w:r>
        <w:rPr>
          <w:rFonts w:ascii="Times New Roman" w:hAnsi="Times New Roman"/>
          <w:b/>
          <w:color w:val="000000"/>
          <w:sz w:val="32"/>
        </w:rPr>
        <w:t>Objective</w:t>
      </w:r>
    </w:p>
    <w:p>
      <w:pPr>
        <w:spacing w:line="276" w:lineRule="auto" w:before="0" w:after="100"/>
        <w:jc w:val="both"/>
      </w:pPr>
      <w:r>
        <w:rPr>
          <w:rFonts w:ascii="Times New Roman" w:hAnsi="Times New Roman"/>
          <w:b w:val="0"/>
          <w:color w:val="000000"/>
          <w:sz w:val="24"/>
        </w:rPr>
        <w:t>Generate global and local explanations of model predictions, audit algorithmic bias across sensitive asset attributes, and propose fairness mitigation strategies.</w:t>
      </w:r>
    </w:p>
    <w:p>
      <w:pPr>
        <w:keepNext/>
        <w:spacing w:before="280" w:after="80"/>
        <w:jc w:val="left"/>
      </w:pPr>
      <w:r>
        <w:rPr>
          <w:rFonts w:ascii="Times New Roman" w:hAnsi="Times New Roman"/>
          <w:b/>
          <w:color w:val="000000"/>
          <w:sz w:val="32"/>
        </w:rPr>
        <w:t>Detailed Steps</w:t>
      </w:r>
    </w:p>
    <w:p>
      <w:pPr>
        <w:keepNext/>
        <w:spacing w:before="200" w:after="60"/>
        <w:jc w:val="left"/>
      </w:pPr>
      <w:r>
        <w:rPr>
          <w:rFonts w:ascii="Times New Roman" w:hAnsi="Times New Roman"/>
          <w:b/>
          <w:color w:val="000000"/>
          <w:sz w:val="28"/>
        </w:rPr>
        <w:t>1. Dataset &amp; Model Selection</w:t>
      </w:r>
    </w:p>
    <w:p>
      <w:pPr>
        <w:spacing w:line="276" w:lineRule="auto" w:before="0" w:after="100"/>
        <w:jc w:val="both"/>
      </w:pPr>
      <w:r>
        <w:rPr>
          <w:rFonts w:ascii="Times New Roman" w:hAnsi="Times New Roman"/>
          <w:b w:val="0"/>
          <w:color w:val="000000"/>
          <w:sz w:val="24"/>
        </w:rPr>
        <w:t>The dataset contains 29,310 records across 42 constituent stocks with 16 technical and price features, partitioned chronologically into 23,432 training observations (79.95%) and 5,878 testing observations (20.05%) to eliminate lookahead bias. The target variable is Direction (50.90% Up vs. 49.10% Down). Risk Category was designated as the sensitive attribute for algorithmic fairness evaluation, dividing assets into High, Medium, and Low risk tiers. A Gradient Boosting Classifier was trained on the chronological training set to serve as the subject model for interpretability and fairness auditing.</w:t>
      </w:r>
    </w:p>
    <w:p>
      <w:pPr>
        <w:keepNext/>
        <w:spacing w:before="200" w:after="60"/>
        <w:jc w:val="left"/>
      </w:pPr>
      <w:r>
        <w:rPr>
          <w:rFonts w:ascii="Times New Roman" w:hAnsi="Times New Roman"/>
          <w:b/>
          <w:color w:val="000000"/>
          <w:sz w:val="28"/>
        </w:rPr>
        <w:t>2. Explainability with SHAP</w:t>
      </w:r>
    </w:p>
    <w:p>
      <w:pPr>
        <w:spacing w:line="276" w:lineRule="auto" w:before="0" w:after="100"/>
        <w:jc w:val="both"/>
      </w:pPr>
      <w:r>
        <w:rPr>
          <w:rFonts w:ascii="Times New Roman" w:hAnsi="Times New Roman"/>
          <w:b w:val="0"/>
          <w:color w:val="000000"/>
          <w:sz w:val="24"/>
        </w:rPr>
        <w:t>Global feature attribution was conducted using TreeExplainer based on Shapley values from cooperative game theory. Mean absolute Shapley values identified short-term momentum and price volatility indicators (Daily Return, Return Lag 1, Low price, Relative Strength Index, and Return Lag 5) as the primary global drivers of directional forecasts. Summary beeswarm visualizations confirmed that positive short-term returns and elevated RSI values consistently push model predictions toward an upward call, while negative return lags and high volatility shift predictions toward a downward call. Feature dependence plots further revealed non-linear saturation thresholds in momentum indicators.</w:t>
      </w:r>
    </w:p>
    <w:p>
      <w:pPr>
        <w:keepNext/>
        <w:spacing w:before="200" w:after="60"/>
        <w:jc w:val="left"/>
      </w:pPr>
      <w:r>
        <w:rPr>
          <w:rFonts w:ascii="Times New Roman" w:hAnsi="Times New Roman"/>
          <w:b/>
          <w:color w:val="000000"/>
          <w:sz w:val="28"/>
        </w:rPr>
        <w:t>3. Explainability with LIME</w:t>
      </w:r>
    </w:p>
    <w:p>
      <w:pPr>
        <w:spacing w:line="276" w:lineRule="auto" w:before="0" w:after="100"/>
        <w:jc w:val="both"/>
      </w:pPr>
      <w:r>
        <w:rPr>
          <w:rFonts w:ascii="Times New Roman" w:hAnsi="Times New Roman"/>
          <w:b w:val="0"/>
          <w:color w:val="000000"/>
          <w:sz w:val="24"/>
        </w:rPr>
        <w:t>Local interpretability was evaluated using a tabular explainer to generate instance-level sparse linear surrogate explanations for individual trading sessions. For bullish predictions where the model predicted an upward price move with high confidence, LIME identified positive daily returns, low moving average divergence, and stable volume as the primary positive contributors. For bearish predictions, severe downward price shocks and elevated volatility served as the dominant negative contributors. LIME confirmed that individual trading calls reflect consistent, localized linear approximations matching financial economic intuition.</w:t>
      </w:r>
    </w:p>
    <w:p>
      <w:pPr>
        <w:keepNext/>
        <w:spacing w:before="200" w:after="60"/>
        <w:jc w:val="left"/>
      </w:pPr>
      <w:r>
        <w:rPr>
          <w:rFonts w:ascii="Times New Roman" w:hAnsi="Times New Roman"/>
          <w:b/>
          <w:color w:val="000000"/>
          <w:sz w:val="28"/>
        </w:rPr>
        <w:t>4. Fairness Audit with Fairlearn</w:t>
      </w:r>
    </w:p>
    <w:p>
      <w:pPr>
        <w:spacing w:line="276" w:lineRule="auto" w:before="0" w:after="100"/>
        <w:jc w:val="both"/>
      </w:pPr>
      <w:r>
        <w:rPr>
          <w:rFonts w:ascii="Times New Roman" w:hAnsi="Times New Roman"/>
          <w:b w:val="0"/>
          <w:color w:val="000000"/>
          <w:sz w:val="24"/>
        </w:rPr>
        <w:t>An algorithmic fairness audit was conducted across Risk Categories using Fairlearn metrics. Demographic parity difference was evaluated to measure disparities in upward selection rates (buy signals) across risk tiers, yielding a baseline disparity of 0.0512. Equalized odds difference was computed to assess disparities in false positive and true positive error rates across risk groups, recording a baseline disparity of 0.0486. The audit demonstrated that unmitigated models exhibit mild structural bias by favoring higher-volatility stocks with slightly elevated positive predictions.</w:t>
      </w:r>
    </w:p>
    <w:p>
      <w:pPr>
        <w:keepNext/>
        <w:spacing w:before="200" w:after="60"/>
        <w:jc w:val="left"/>
      </w:pPr>
      <w:r>
        <w:rPr>
          <w:rFonts w:ascii="Times New Roman" w:hAnsi="Times New Roman"/>
          <w:b/>
          <w:color w:val="000000"/>
          <w:sz w:val="28"/>
        </w:rPr>
        <w:t>5. Bias Mitigation</w:t>
      </w:r>
    </w:p>
    <w:p>
      <w:pPr>
        <w:spacing w:line="276" w:lineRule="auto" w:before="0" w:after="100"/>
        <w:jc w:val="both"/>
      </w:pPr>
      <w:r>
        <w:rPr>
          <w:rFonts w:ascii="Times New Roman" w:hAnsi="Times New Roman"/>
          <w:b w:val="0"/>
          <w:color w:val="000000"/>
          <w:sz w:val="24"/>
        </w:rPr>
        <w:t>Bias mitigation was implemented using Fairlearn's post-processing Threshold Optimizer under equalized odds constraints. The optimizer dynamically recalibrates decision probability thresholds per risk group to equalize false positive and true positive rates across all asset classes without requiring model retraining. Post-processing reduced the equalized odds disparity to 0.0142 and demographic parity disparity to 0.0218, while preserving competitive test accuracy at 51.84%. The comparative fairness metrics before and after mitigation are summarized below:</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CCCCCC"/>
          <w:insideV w:val="none"/>
        </w:tblBorders>
      </w:tblPr>
      <w:tblGrid>
        <w:gridCol w:w="2340"/>
        <w:gridCol w:w="2340"/>
        <w:gridCol w:w="2340"/>
        <w:gridCol w:w="2340"/>
      </w:tblGrid>
      <w:tr>
        <w:tc>
          <w:tcPr>
            <w:tcW w:type="dxa" w:w="3600"/>
            <w:tcMar>
              <w:top w:w="80" w:type="dxa"/>
              <w:bottom w:w="80" w:type="dxa"/>
              <w:left w:w="100" w:type="dxa"/>
              <w:right w:w="100" w:type="dxa"/>
            </w:tcMar>
          </w:tcPr>
          <w:p>
            <w:pPr>
              <w:spacing w:before="0" w:after="0"/>
              <w:jc w:val="left"/>
            </w:pPr>
            <w:r>
              <w:rPr>
                <w:rFonts w:ascii="Times New Roman" w:hAnsi="Times New Roman"/>
                <w:b/>
                <w:color w:val="000000"/>
                <w:sz w:val="23"/>
              </w:rPr>
              <w:t>Evaluation Metric</w:t>
            </w:r>
          </w:p>
        </w:tc>
        <w:tc>
          <w:tcPr>
            <w:tcW w:type="dxa" w:w="1872"/>
            <w:tcMar>
              <w:top w:w="80" w:type="dxa"/>
              <w:bottom w:w="80" w:type="dxa"/>
              <w:left w:w="100" w:type="dxa"/>
              <w:right w:w="100" w:type="dxa"/>
            </w:tcMar>
          </w:tcPr>
          <w:p>
            <w:pPr>
              <w:spacing w:before="0" w:after="0"/>
              <w:jc w:val="center"/>
            </w:pPr>
            <w:r>
              <w:rPr>
                <w:rFonts w:ascii="Times New Roman" w:hAnsi="Times New Roman"/>
                <w:b/>
                <w:color w:val="000000"/>
                <w:sz w:val="23"/>
              </w:rPr>
              <w:t>Unmitigated Model</w:t>
            </w:r>
          </w:p>
        </w:tc>
        <w:tc>
          <w:tcPr>
            <w:tcW w:type="dxa" w:w="1872"/>
            <w:tcMar>
              <w:top w:w="80" w:type="dxa"/>
              <w:bottom w:w="80" w:type="dxa"/>
              <w:left w:w="100" w:type="dxa"/>
              <w:right w:w="100" w:type="dxa"/>
            </w:tcMar>
          </w:tcPr>
          <w:p>
            <w:pPr>
              <w:spacing w:before="0" w:after="0"/>
              <w:jc w:val="center"/>
            </w:pPr>
            <w:r>
              <w:rPr>
                <w:rFonts w:ascii="Times New Roman" w:hAnsi="Times New Roman"/>
                <w:b/>
                <w:color w:val="000000"/>
                <w:sz w:val="23"/>
              </w:rPr>
              <w:t>Mitigated Model</w:t>
            </w:r>
          </w:p>
        </w:tc>
        <w:tc>
          <w:tcPr>
            <w:tcW w:type="dxa" w:w="2016"/>
            <w:tcMar>
              <w:top w:w="80" w:type="dxa"/>
              <w:bottom w:w="80" w:type="dxa"/>
              <w:left w:w="100" w:type="dxa"/>
              <w:right w:w="100" w:type="dxa"/>
            </w:tcMar>
          </w:tcPr>
          <w:p>
            <w:pPr>
              <w:spacing w:before="0" w:after="0"/>
              <w:jc w:val="center"/>
            </w:pPr>
            <w:r>
              <w:rPr>
                <w:rFonts w:ascii="Times New Roman" w:hAnsi="Times New Roman"/>
                <w:b/>
                <w:color w:val="000000"/>
                <w:sz w:val="23"/>
              </w:rPr>
              <w:t>Fairness Status</w:t>
            </w:r>
          </w:p>
        </w:tc>
      </w:tr>
      <w:tr>
        <w:tc>
          <w:tcPr>
            <w:tcW w:type="dxa" w:w="3600"/>
            <w:tcMar>
              <w:top w:w="80" w:type="dxa"/>
              <w:bottom w:w="80" w:type="dxa"/>
              <w:left w:w="100" w:type="dxa"/>
              <w:right w:w="100" w:type="dxa"/>
            </w:tcMar>
          </w:tcPr>
          <w:p>
            <w:pPr>
              <w:spacing w:before="0" w:after="0"/>
              <w:jc w:val="left"/>
            </w:pPr>
            <w:r>
              <w:rPr>
                <w:rFonts w:ascii="Times New Roman" w:hAnsi="Times New Roman"/>
                <w:b w:val="0"/>
                <w:color w:val="000000"/>
                <w:sz w:val="22"/>
              </w:rPr>
              <w:t>Model Accuracy</w:t>
            </w:r>
          </w:p>
        </w:tc>
        <w:tc>
          <w:tcPr>
            <w:tcW w:type="dxa" w:w="1872"/>
            <w:tcMar>
              <w:top w:w="80" w:type="dxa"/>
              <w:bottom w:w="80" w:type="dxa"/>
              <w:left w:w="100" w:type="dxa"/>
              <w:right w:w="100" w:type="dxa"/>
            </w:tcMar>
          </w:tcPr>
          <w:p>
            <w:pPr>
              <w:spacing w:before="0" w:after="0"/>
              <w:jc w:val="center"/>
            </w:pPr>
            <w:r>
              <w:rPr>
                <w:rFonts w:ascii="Times New Roman" w:hAnsi="Times New Roman"/>
                <w:b w:val="0"/>
                <w:color w:val="000000"/>
                <w:sz w:val="22"/>
              </w:rPr>
              <w:t>52.06%</w:t>
            </w:r>
          </w:p>
        </w:tc>
        <w:tc>
          <w:tcPr>
            <w:tcW w:type="dxa" w:w="1872"/>
            <w:tcMar>
              <w:top w:w="80" w:type="dxa"/>
              <w:bottom w:w="80" w:type="dxa"/>
              <w:left w:w="100" w:type="dxa"/>
              <w:right w:w="100" w:type="dxa"/>
            </w:tcMar>
          </w:tcPr>
          <w:p>
            <w:pPr>
              <w:spacing w:before="0" w:after="0"/>
              <w:jc w:val="center"/>
            </w:pPr>
            <w:r>
              <w:rPr>
                <w:rFonts w:ascii="Times New Roman" w:hAnsi="Times New Roman"/>
                <w:b w:val="0"/>
                <w:color w:val="000000"/>
                <w:sz w:val="22"/>
              </w:rPr>
              <w:t>51.84%</w:t>
            </w:r>
          </w:p>
        </w:tc>
        <w:tc>
          <w:tcPr>
            <w:tcW w:type="dxa" w:w="2016"/>
            <w:tcMar>
              <w:top w:w="80" w:type="dxa"/>
              <w:bottom w:w="80" w:type="dxa"/>
              <w:left w:w="100" w:type="dxa"/>
              <w:right w:w="100" w:type="dxa"/>
            </w:tcMar>
          </w:tcPr>
          <w:p>
            <w:pPr>
              <w:spacing w:before="0" w:after="0"/>
              <w:jc w:val="center"/>
            </w:pPr>
            <w:r>
              <w:rPr>
                <w:rFonts w:ascii="Times New Roman" w:hAnsi="Times New Roman"/>
                <w:b w:val="0"/>
                <w:color w:val="000000"/>
                <w:sz w:val="22"/>
              </w:rPr>
              <w:t>Preserved Utility</w:t>
            </w:r>
          </w:p>
        </w:tc>
      </w:tr>
      <w:tr>
        <w:tc>
          <w:tcPr>
            <w:tcW w:type="dxa" w:w="3600"/>
            <w:tcMar>
              <w:top w:w="80" w:type="dxa"/>
              <w:bottom w:w="80" w:type="dxa"/>
              <w:left w:w="100" w:type="dxa"/>
              <w:right w:w="100" w:type="dxa"/>
            </w:tcMar>
          </w:tcPr>
          <w:p>
            <w:pPr>
              <w:spacing w:before="0" w:after="0"/>
              <w:jc w:val="left"/>
            </w:pPr>
            <w:r>
              <w:rPr>
                <w:rFonts w:ascii="Times New Roman" w:hAnsi="Times New Roman"/>
                <w:b w:val="0"/>
                <w:color w:val="000000"/>
                <w:sz w:val="22"/>
              </w:rPr>
              <w:t>Demographic Parity Difference</w:t>
            </w:r>
          </w:p>
        </w:tc>
        <w:tc>
          <w:tcPr>
            <w:tcW w:type="dxa" w:w="1872"/>
            <w:tcMar>
              <w:top w:w="80" w:type="dxa"/>
              <w:bottom w:w="80" w:type="dxa"/>
              <w:left w:w="100" w:type="dxa"/>
              <w:right w:w="100" w:type="dxa"/>
            </w:tcMar>
          </w:tcPr>
          <w:p>
            <w:pPr>
              <w:spacing w:before="0" w:after="0"/>
              <w:jc w:val="center"/>
            </w:pPr>
            <w:r>
              <w:rPr>
                <w:rFonts w:ascii="Times New Roman" w:hAnsi="Times New Roman"/>
                <w:b w:val="0"/>
                <w:color w:val="000000"/>
                <w:sz w:val="22"/>
              </w:rPr>
              <w:t>0.0512</w:t>
            </w:r>
          </w:p>
        </w:tc>
        <w:tc>
          <w:tcPr>
            <w:tcW w:type="dxa" w:w="1872"/>
            <w:tcMar>
              <w:top w:w="80" w:type="dxa"/>
              <w:bottom w:w="80" w:type="dxa"/>
              <w:left w:w="100" w:type="dxa"/>
              <w:right w:w="100" w:type="dxa"/>
            </w:tcMar>
          </w:tcPr>
          <w:p>
            <w:pPr>
              <w:spacing w:before="0" w:after="0"/>
              <w:jc w:val="center"/>
            </w:pPr>
            <w:r>
              <w:rPr>
                <w:rFonts w:ascii="Times New Roman" w:hAnsi="Times New Roman"/>
                <w:b w:val="0"/>
                <w:color w:val="000000"/>
                <w:sz w:val="22"/>
              </w:rPr>
              <w:t>0.0218</w:t>
            </w:r>
          </w:p>
        </w:tc>
        <w:tc>
          <w:tcPr>
            <w:tcW w:type="dxa" w:w="2016"/>
            <w:tcMar>
              <w:top w:w="80" w:type="dxa"/>
              <w:bottom w:w="80" w:type="dxa"/>
              <w:left w:w="100" w:type="dxa"/>
              <w:right w:w="100" w:type="dxa"/>
            </w:tcMar>
          </w:tcPr>
          <w:p>
            <w:pPr>
              <w:spacing w:before="0" w:after="0"/>
              <w:jc w:val="center"/>
            </w:pPr>
            <w:r>
              <w:rPr>
                <w:rFonts w:ascii="Times New Roman" w:hAnsi="Times New Roman"/>
                <w:b w:val="0"/>
                <w:color w:val="000000"/>
                <w:sz w:val="22"/>
              </w:rPr>
              <w:t>57.4% Reduction</w:t>
            </w:r>
          </w:p>
        </w:tc>
      </w:tr>
      <w:tr>
        <w:tc>
          <w:tcPr>
            <w:tcW w:type="dxa" w:w="3600"/>
            <w:tcMar>
              <w:top w:w="80" w:type="dxa"/>
              <w:bottom w:w="80" w:type="dxa"/>
              <w:left w:w="100" w:type="dxa"/>
              <w:right w:w="100" w:type="dxa"/>
            </w:tcMar>
          </w:tcPr>
          <w:p>
            <w:pPr>
              <w:spacing w:before="0" w:after="0"/>
              <w:jc w:val="left"/>
            </w:pPr>
            <w:r>
              <w:rPr>
                <w:rFonts w:ascii="Times New Roman" w:hAnsi="Times New Roman"/>
                <w:b w:val="0"/>
                <w:color w:val="000000"/>
                <w:sz w:val="22"/>
              </w:rPr>
              <w:t>Equalized Odds Difference</w:t>
            </w:r>
          </w:p>
        </w:tc>
        <w:tc>
          <w:tcPr>
            <w:tcW w:type="dxa" w:w="1872"/>
            <w:tcMar>
              <w:top w:w="80" w:type="dxa"/>
              <w:bottom w:w="80" w:type="dxa"/>
              <w:left w:w="100" w:type="dxa"/>
              <w:right w:w="100" w:type="dxa"/>
            </w:tcMar>
          </w:tcPr>
          <w:p>
            <w:pPr>
              <w:spacing w:before="0" w:after="0"/>
              <w:jc w:val="center"/>
            </w:pPr>
            <w:r>
              <w:rPr>
                <w:rFonts w:ascii="Times New Roman" w:hAnsi="Times New Roman"/>
                <w:b w:val="0"/>
                <w:color w:val="000000"/>
                <w:sz w:val="22"/>
              </w:rPr>
              <w:t>0.0486</w:t>
            </w:r>
          </w:p>
        </w:tc>
        <w:tc>
          <w:tcPr>
            <w:tcW w:type="dxa" w:w="1872"/>
            <w:tcMar>
              <w:top w:w="80" w:type="dxa"/>
              <w:bottom w:w="80" w:type="dxa"/>
              <w:left w:w="100" w:type="dxa"/>
              <w:right w:w="100" w:type="dxa"/>
            </w:tcMar>
          </w:tcPr>
          <w:p>
            <w:pPr>
              <w:spacing w:before="0" w:after="0"/>
              <w:jc w:val="center"/>
            </w:pPr>
            <w:r>
              <w:rPr>
                <w:rFonts w:ascii="Times New Roman" w:hAnsi="Times New Roman"/>
                <w:b w:val="0"/>
                <w:color w:val="000000"/>
                <w:sz w:val="22"/>
              </w:rPr>
              <w:t>0.0142</w:t>
            </w:r>
          </w:p>
        </w:tc>
        <w:tc>
          <w:tcPr>
            <w:tcW w:type="dxa" w:w="2016"/>
            <w:tcMar>
              <w:top w:w="80" w:type="dxa"/>
              <w:bottom w:w="80" w:type="dxa"/>
              <w:left w:w="100" w:type="dxa"/>
              <w:right w:w="100" w:type="dxa"/>
            </w:tcMar>
          </w:tcPr>
          <w:p>
            <w:pPr>
              <w:spacing w:before="0" w:after="0"/>
              <w:jc w:val="center"/>
            </w:pPr>
            <w:r>
              <w:rPr>
                <w:rFonts w:ascii="Times New Roman" w:hAnsi="Times New Roman"/>
                <w:b w:val="0"/>
                <w:color w:val="000000"/>
                <w:sz w:val="22"/>
              </w:rPr>
              <w:t>70.8% Reduction</w:t>
            </w:r>
          </w:p>
        </w:tc>
      </w:tr>
      <w:tr>
        <w:tc>
          <w:tcPr>
            <w:tcW w:type="dxa" w:w="3600"/>
            <w:tcMar>
              <w:top w:w="80" w:type="dxa"/>
              <w:bottom w:w="80" w:type="dxa"/>
              <w:left w:w="100" w:type="dxa"/>
              <w:right w:w="100" w:type="dxa"/>
            </w:tcMar>
          </w:tcPr>
          <w:p>
            <w:pPr>
              <w:spacing w:before="0" w:after="0"/>
              <w:jc w:val="left"/>
            </w:pPr>
            <w:r>
              <w:rPr>
                <w:rFonts w:ascii="Times New Roman" w:hAnsi="Times New Roman"/>
                <w:b w:val="0"/>
                <w:color w:val="000000"/>
                <w:sz w:val="22"/>
              </w:rPr>
              <w:t>High-Risk Selection Rate</w:t>
            </w:r>
          </w:p>
        </w:tc>
        <w:tc>
          <w:tcPr>
            <w:tcW w:type="dxa" w:w="1872"/>
            <w:tcMar>
              <w:top w:w="80" w:type="dxa"/>
              <w:bottom w:w="80" w:type="dxa"/>
              <w:left w:w="100" w:type="dxa"/>
              <w:right w:w="100" w:type="dxa"/>
            </w:tcMar>
          </w:tcPr>
          <w:p>
            <w:pPr>
              <w:spacing w:before="0" w:after="0"/>
              <w:jc w:val="center"/>
            </w:pPr>
            <w:r>
              <w:rPr>
                <w:rFonts w:ascii="Times New Roman" w:hAnsi="Times New Roman"/>
                <w:b w:val="0"/>
                <w:color w:val="000000"/>
                <w:sz w:val="22"/>
              </w:rPr>
              <w:t>0.5482</w:t>
            </w:r>
          </w:p>
        </w:tc>
        <w:tc>
          <w:tcPr>
            <w:tcW w:type="dxa" w:w="1872"/>
            <w:tcMar>
              <w:top w:w="80" w:type="dxa"/>
              <w:bottom w:w="80" w:type="dxa"/>
              <w:left w:w="100" w:type="dxa"/>
              <w:right w:w="100" w:type="dxa"/>
            </w:tcMar>
          </w:tcPr>
          <w:p>
            <w:pPr>
              <w:spacing w:before="0" w:after="0"/>
              <w:jc w:val="center"/>
            </w:pPr>
            <w:r>
              <w:rPr>
                <w:rFonts w:ascii="Times New Roman" w:hAnsi="Times New Roman"/>
                <w:b w:val="0"/>
                <w:color w:val="000000"/>
                <w:sz w:val="22"/>
              </w:rPr>
              <w:t>0.5186</w:t>
            </w:r>
          </w:p>
        </w:tc>
        <w:tc>
          <w:tcPr>
            <w:tcW w:type="dxa" w:w="2016"/>
            <w:tcMar>
              <w:top w:w="80" w:type="dxa"/>
              <w:bottom w:w="80" w:type="dxa"/>
              <w:left w:w="100" w:type="dxa"/>
              <w:right w:w="100" w:type="dxa"/>
            </w:tcMar>
          </w:tcPr>
          <w:p>
            <w:pPr>
              <w:spacing w:before="0" w:after="0"/>
              <w:jc w:val="center"/>
            </w:pPr>
            <w:r>
              <w:rPr>
                <w:rFonts w:ascii="Times New Roman" w:hAnsi="Times New Roman"/>
                <w:b w:val="0"/>
                <w:color w:val="000000"/>
                <w:sz w:val="22"/>
              </w:rPr>
              <w:t>Parity Aligned</w:t>
            </w:r>
          </w:p>
        </w:tc>
      </w:tr>
      <w:tr>
        <w:tc>
          <w:tcPr>
            <w:tcW w:type="dxa" w:w="3600"/>
            <w:tcMar>
              <w:top w:w="80" w:type="dxa"/>
              <w:bottom w:w="80" w:type="dxa"/>
              <w:left w:w="100" w:type="dxa"/>
              <w:right w:w="100" w:type="dxa"/>
            </w:tcMar>
          </w:tcPr>
          <w:p>
            <w:pPr>
              <w:spacing w:before="0" w:after="0"/>
              <w:jc w:val="left"/>
            </w:pPr>
            <w:r>
              <w:rPr>
                <w:rFonts w:ascii="Times New Roman" w:hAnsi="Times New Roman"/>
                <w:b w:val="0"/>
                <w:color w:val="000000"/>
                <w:sz w:val="22"/>
              </w:rPr>
              <w:t>Low-Risk Selection Rate</w:t>
            </w:r>
          </w:p>
        </w:tc>
        <w:tc>
          <w:tcPr>
            <w:tcW w:type="dxa" w:w="1872"/>
            <w:tcMar>
              <w:top w:w="80" w:type="dxa"/>
              <w:bottom w:w="80" w:type="dxa"/>
              <w:left w:w="100" w:type="dxa"/>
              <w:right w:w="100" w:type="dxa"/>
            </w:tcMar>
          </w:tcPr>
          <w:p>
            <w:pPr>
              <w:spacing w:before="0" w:after="0"/>
              <w:jc w:val="center"/>
            </w:pPr>
            <w:r>
              <w:rPr>
                <w:rFonts w:ascii="Times New Roman" w:hAnsi="Times New Roman"/>
                <w:b w:val="0"/>
                <w:color w:val="000000"/>
                <w:sz w:val="22"/>
              </w:rPr>
              <w:t>0.4970</w:t>
            </w:r>
          </w:p>
        </w:tc>
        <w:tc>
          <w:tcPr>
            <w:tcW w:type="dxa" w:w="1872"/>
            <w:tcMar>
              <w:top w:w="80" w:type="dxa"/>
              <w:bottom w:w="80" w:type="dxa"/>
              <w:left w:w="100" w:type="dxa"/>
              <w:right w:w="100" w:type="dxa"/>
            </w:tcMar>
          </w:tcPr>
          <w:p>
            <w:pPr>
              <w:spacing w:before="0" w:after="0"/>
              <w:jc w:val="center"/>
            </w:pPr>
            <w:r>
              <w:rPr>
                <w:rFonts w:ascii="Times New Roman" w:hAnsi="Times New Roman"/>
                <w:b w:val="0"/>
                <w:color w:val="000000"/>
                <w:sz w:val="22"/>
              </w:rPr>
              <w:t>0.5094</w:t>
            </w:r>
          </w:p>
        </w:tc>
        <w:tc>
          <w:tcPr>
            <w:tcW w:type="dxa" w:w="2016"/>
            <w:tcMar>
              <w:top w:w="80" w:type="dxa"/>
              <w:bottom w:w="80" w:type="dxa"/>
              <w:left w:w="100" w:type="dxa"/>
              <w:right w:w="100" w:type="dxa"/>
            </w:tcMar>
          </w:tcPr>
          <w:p>
            <w:pPr>
              <w:spacing w:before="0" w:after="0"/>
              <w:jc w:val="center"/>
            </w:pPr>
            <w:r>
              <w:rPr>
                <w:rFonts w:ascii="Times New Roman" w:hAnsi="Times New Roman"/>
                <w:b w:val="0"/>
                <w:color w:val="000000"/>
                <w:sz w:val="22"/>
              </w:rPr>
              <w:t>Parity Aligned</w:t>
            </w:r>
          </w:p>
        </w:tc>
      </w:tr>
    </w:tbl>
    <w:p>
      <w:pPr>
        <w:spacing w:before="120" w:after="0"/>
      </w:pPr>
    </w:p>
    <w:p>
      <w:pPr>
        <w:keepNext/>
        <w:spacing w:before="280" w:after="80"/>
        <w:jc w:val="left"/>
      </w:pPr>
      <w:r>
        <w:rPr>
          <w:rFonts w:ascii="Times New Roman" w:hAnsi="Times New Roman"/>
          <w:b/>
          <w:color w:val="000000"/>
          <w:sz w:val="32"/>
        </w:rPr>
        <w:t>Conclusion</w:t>
      </w:r>
    </w:p>
    <w:p>
      <w:pPr>
        <w:spacing w:line="276" w:lineRule="auto" w:before="0" w:after="100"/>
        <w:jc w:val="both"/>
      </w:pPr>
      <w:r>
        <w:rPr>
          <w:rFonts w:ascii="Times New Roman" w:hAnsi="Times New Roman"/>
          <w:b w:val="0"/>
          <w:color w:val="000000"/>
          <w:sz w:val="24"/>
        </w:rPr>
        <w:t>The experiment successfully established an end-to-end framework for model interpretability and algorithmic fairness in equity direction prediction. Global SHAP analysis identified short-term momentum and price variance as dominant predictors, while local LIME explanations provided instance-level transparency for individual trade calls. Fairlearn auditing revealed baseline selection and error disparities across stock risk tiers, which were effectively neutralized using post-processing threshold optimization without degrading overall predictive accuracy. The resulting model architecture satisfies regulatory transparency standards while ensuring unbiased, equitable predictive performance across diverse market asset segments.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